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129" w:rsidRDefault="00D102E1" w:rsidP="00085F81">
      <w:pPr>
        <w:pStyle w:val="NormalWeb"/>
        <w:spacing w:before="0" w:beforeAutospacing="0" w:after="0" w:afterAutospacing="0"/>
        <w:jc w:val="center"/>
        <w:rPr>
          <w:rFonts w:ascii="Verdana" w:hAnsi="Verdana"/>
          <w:color w:val="A6A6A6" w:themeColor="background1" w:themeShade="A6"/>
          <w:sz w:val="16"/>
          <w:szCs w:val="16"/>
          <w:lang w:val="en-GB"/>
        </w:rPr>
      </w:pPr>
      <w:r w:rsidRPr="00D102E1">
        <w:rPr>
          <w:noProof/>
          <w:color w:val="A6A6A6" w:themeColor="background1" w:themeShade="A6"/>
          <w:shd w:val="clear" w:color="auto" w:fill="BFBFBF" w:themeFill="background1" w:themeFillShade="BF"/>
        </w:rPr>
        <w:drawing>
          <wp:inline distT="0" distB="0" distL="0" distR="0" wp14:anchorId="71F61358" wp14:editId="085107F7">
            <wp:extent cx="5760720" cy="1079691"/>
            <wp:effectExtent l="0" t="0" r="0" b="0"/>
            <wp:docPr id="16" name="Image 16" descr="Stop Hormone Disrupting Chemical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 Hormone Disrupting Chemical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3778" cy="1080264"/>
                    </a:xfrm>
                    <a:prstGeom prst="rect">
                      <a:avLst/>
                    </a:prstGeom>
                    <a:noFill/>
                    <a:ln>
                      <a:noFill/>
                    </a:ln>
                  </pic:spPr>
                </pic:pic>
              </a:graphicData>
            </a:graphic>
          </wp:inline>
        </w:drawing>
      </w:r>
    </w:p>
    <w:p w:rsidR="008D4962" w:rsidRPr="00D102E1" w:rsidRDefault="008D4962" w:rsidP="00085F81">
      <w:pPr>
        <w:pStyle w:val="NormalWeb"/>
        <w:spacing w:before="0" w:beforeAutospacing="0" w:after="0" w:afterAutospacing="0"/>
        <w:jc w:val="center"/>
        <w:rPr>
          <w:rFonts w:ascii="Verdana" w:hAnsi="Verdana"/>
          <w:color w:val="A6A6A6" w:themeColor="background1" w:themeShade="A6"/>
          <w:sz w:val="16"/>
          <w:szCs w:val="16"/>
          <w:lang w:val="en-GB"/>
        </w:rPr>
      </w:pPr>
    </w:p>
    <w:p w:rsidR="001552FF" w:rsidRDefault="001552FF" w:rsidP="00E73AF6">
      <w:pPr>
        <w:pStyle w:val="NormalWeb"/>
        <w:spacing w:before="0" w:beforeAutospacing="0" w:after="0" w:afterAutospacing="0"/>
        <w:rPr>
          <w:rFonts w:ascii="Arial" w:hAnsi="Arial" w:cs="Arial"/>
          <w:b/>
          <w:color w:val="FF0000"/>
          <w:sz w:val="20"/>
          <w:szCs w:val="20"/>
        </w:rPr>
      </w:pPr>
      <w:r>
        <w:rPr>
          <w:rFonts w:ascii="Arial" w:hAnsi="Arial" w:cs="Arial"/>
          <w:b/>
          <w:noProof/>
          <w:color w:val="FF0000"/>
          <w:sz w:val="20"/>
          <w:szCs w:val="20"/>
        </w:rPr>
        <w:drawing>
          <wp:inline distT="0" distB="0" distL="0" distR="0" wp14:anchorId="11A2ED5D">
            <wp:extent cx="624946" cy="533400"/>
            <wp:effectExtent l="0" t="0" r="381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108" cy="535246"/>
                    </a:xfrm>
                    <a:prstGeom prst="rect">
                      <a:avLst/>
                    </a:prstGeom>
                    <a:noFill/>
                  </pic:spPr>
                </pic:pic>
              </a:graphicData>
            </a:graphic>
          </wp:inline>
        </w:drawing>
      </w:r>
      <w:r>
        <w:rPr>
          <w:rFonts w:ascii="Arial" w:hAnsi="Arial" w:cs="Arial"/>
          <w:b/>
          <w:noProof/>
          <w:color w:val="FF0000"/>
          <w:sz w:val="20"/>
          <w:szCs w:val="20"/>
        </w:rPr>
        <w:t xml:space="preserve"> </w:t>
      </w:r>
      <w:r>
        <w:rPr>
          <w:rFonts w:ascii="Arial" w:hAnsi="Arial" w:cs="Arial"/>
          <w:b/>
          <w:noProof/>
          <w:color w:val="FF0000"/>
          <w:sz w:val="20"/>
          <w:szCs w:val="20"/>
        </w:rPr>
        <w:drawing>
          <wp:inline distT="0" distB="0" distL="0" distR="0" wp14:anchorId="23A14D29">
            <wp:extent cx="962025" cy="24765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3074" cy="247920"/>
                    </a:xfrm>
                    <a:prstGeom prst="rect">
                      <a:avLst/>
                    </a:prstGeom>
                    <a:noFill/>
                  </pic:spPr>
                </pic:pic>
              </a:graphicData>
            </a:graphic>
          </wp:inline>
        </w:drawing>
      </w:r>
      <w:r>
        <w:rPr>
          <w:rFonts w:ascii="Arial" w:hAnsi="Arial" w:cs="Arial"/>
          <w:b/>
          <w:noProof/>
          <w:color w:val="FF0000"/>
          <w:sz w:val="20"/>
          <w:szCs w:val="20"/>
        </w:rPr>
        <w:t xml:space="preserve"> </w:t>
      </w:r>
      <w:r w:rsidR="00175129">
        <w:rPr>
          <w:rFonts w:ascii="Arial" w:hAnsi="Arial" w:cs="Arial"/>
          <w:b/>
          <w:noProof/>
          <w:color w:val="FF0000"/>
          <w:sz w:val="20"/>
          <w:szCs w:val="20"/>
        </w:rPr>
        <w:drawing>
          <wp:inline distT="0" distB="0" distL="0" distR="0" wp14:anchorId="611FCC17">
            <wp:extent cx="533869" cy="57790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95" cy="589079"/>
                    </a:xfrm>
                    <a:prstGeom prst="rect">
                      <a:avLst/>
                    </a:prstGeom>
                    <a:noFill/>
                  </pic:spPr>
                </pic:pic>
              </a:graphicData>
            </a:graphic>
          </wp:inline>
        </w:drawing>
      </w:r>
      <w:r w:rsidR="00175129" w:rsidRPr="00DF7E10">
        <w:rPr>
          <w:rFonts w:ascii="Arial" w:hAnsi="Arial" w:cs="Arial"/>
          <w:b/>
          <w:color w:val="FF0000"/>
          <w:sz w:val="20"/>
          <w:szCs w:val="20"/>
        </w:rPr>
        <w:t xml:space="preserve">    </w:t>
      </w:r>
      <w:r>
        <w:rPr>
          <w:rFonts w:ascii="Arial" w:hAnsi="Arial" w:cs="Arial"/>
          <w:b/>
          <w:noProof/>
          <w:color w:val="FF0000"/>
          <w:sz w:val="20"/>
          <w:szCs w:val="20"/>
        </w:rPr>
        <w:drawing>
          <wp:inline distT="0" distB="0" distL="0" distR="0" wp14:anchorId="78E0E557">
            <wp:extent cx="559613" cy="37307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827" cy="385218"/>
                    </a:xfrm>
                    <a:prstGeom prst="rect">
                      <a:avLst/>
                    </a:prstGeom>
                    <a:noFill/>
                  </pic:spPr>
                </pic:pic>
              </a:graphicData>
            </a:graphic>
          </wp:inline>
        </w:drawing>
      </w:r>
      <w:r w:rsidR="00175129" w:rsidRPr="00DF7E10">
        <w:rPr>
          <w:rFonts w:ascii="Arial" w:hAnsi="Arial" w:cs="Arial"/>
          <w:b/>
          <w:color w:val="FF0000"/>
          <w:sz w:val="20"/>
          <w:szCs w:val="20"/>
        </w:rPr>
        <w:t xml:space="preserve"> </w:t>
      </w:r>
      <w:r w:rsidR="00175129">
        <w:rPr>
          <w:rFonts w:ascii="Arial" w:hAnsi="Arial" w:cs="Arial"/>
          <w:b/>
          <w:noProof/>
          <w:color w:val="FF0000"/>
          <w:sz w:val="20"/>
          <w:szCs w:val="20"/>
        </w:rPr>
        <w:drawing>
          <wp:inline distT="0" distB="0" distL="0" distR="0" wp14:anchorId="45F21EE4" wp14:editId="7497F7C7">
            <wp:extent cx="570232" cy="431267"/>
            <wp:effectExtent l="0" t="0" r="127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779" cy="452857"/>
                    </a:xfrm>
                    <a:prstGeom prst="rect">
                      <a:avLst/>
                    </a:prstGeom>
                    <a:noFill/>
                  </pic:spPr>
                </pic:pic>
              </a:graphicData>
            </a:graphic>
          </wp:inline>
        </w:drawing>
      </w:r>
      <w:r w:rsidR="00175129" w:rsidRPr="00DF7E10">
        <w:rPr>
          <w:rFonts w:ascii="Arial" w:hAnsi="Arial" w:cs="Arial"/>
          <w:b/>
          <w:color w:val="FF0000"/>
          <w:sz w:val="20"/>
          <w:szCs w:val="20"/>
        </w:rPr>
        <w:t xml:space="preserve">   </w:t>
      </w:r>
      <w:r>
        <w:rPr>
          <w:rFonts w:ascii="Arial" w:hAnsi="Arial" w:cs="Arial"/>
          <w:b/>
          <w:noProof/>
          <w:color w:val="FF0000"/>
          <w:sz w:val="20"/>
          <w:szCs w:val="20"/>
        </w:rPr>
        <w:drawing>
          <wp:inline distT="0" distB="0" distL="0" distR="0">
            <wp:extent cx="627695" cy="298805"/>
            <wp:effectExtent l="0" t="0" r="127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1642" cy="314965"/>
                    </a:xfrm>
                    <a:prstGeom prst="rect">
                      <a:avLst/>
                    </a:prstGeom>
                    <a:noFill/>
                    <a:ln>
                      <a:noFill/>
                    </a:ln>
                  </pic:spPr>
                </pic:pic>
              </a:graphicData>
            </a:graphic>
          </wp:inline>
        </w:drawing>
      </w:r>
      <w:r w:rsidR="007E0E12">
        <w:rPr>
          <w:rFonts w:ascii="Arial" w:hAnsi="Arial" w:cs="Arial"/>
          <w:b/>
          <w:color w:val="FF0000"/>
          <w:sz w:val="20"/>
          <w:szCs w:val="20"/>
        </w:rPr>
        <w:t xml:space="preserve">  </w:t>
      </w:r>
      <w:r w:rsidR="007E0E12">
        <w:rPr>
          <w:rFonts w:ascii="Arial" w:hAnsi="Arial" w:cs="Arial"/>
          <w:b/>
          <w:noProof/>
          <w:color w:val="FF0000"/>
          <w:sz w:val="20"/>
          <w:szCs w:val="20"/>
        </w:rPr>
        <w:drawing>
          <wp:inline distT="0" distB="0" distL="0" distR="0" wp14:anchorId="313CA94D" wp14:editId="7F37BD0C">
            <wp:extent cx="787344" cy="212141"/>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5512" cy="219730"/>
                    </a:xfrm>
                    <a:prstGeom prst="rect">
                      <a:avLst/>
                    </a:prstGeom>
                    <a:noFill/>
                    <a:ln>
                      <a:noFill/>
                    </a:ln>
                  </pic:spPr>
                </pic:pic>
              </a:graphicData>
            </a:graphic>
          </wp:inline>
        </w:drawing>
      </w:r>
      <w:r w:rsidR="00AE7B4A">
        <w:rPr>
          <w:rFonts w:ascii="Arial" w:hAnsi="Arial" w:cs="Arial"/>
          <w:b/>
          <w:noProof/>
          <w:color w:val="FF0000"/>
          <w:sz w:val="20"/>
          <w:szCs w:val="20"/>
        </w:rPr>
        <w:drawing>
          <wp:inline distT="0" distB="0" distL="0" distR="0" wp14:anchorId="0CE94081" wp14:editId="6B5C56B9">
            <wp:extent cx="585216" cy="431850"/>
            <wp:effectExtent l="0" t="0" r="5715"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7108" cy="433246"/>
                    </a:xfrm>
                    <a:prstGeom prst="rect">
                      <a:avLst/>
                    </a:prstGeom>
                    <a:noFill/>
                    <a:ln>
                      <a:noFill/>
                    </a:ln>
                  </pic:spPr>
                </pic:pic>
              </a:graphicData>
            </a:graphic>
          </wp:inline>
        </w:drawing>
      </w:r>
    </w:p>
    <w:p w:rsidR="001552FF" w:rsidRPr="00DF7E10" w:rsidRDefault="00CB737C" w:rsidP="00E73AF6">
      <w:pPr>
        <w:pStyle w:val="NormalWeb"/>
        <w:spacing w:before="0" w:beforeAutospacing="0" w:after="0" w:afterAutospacing="0"/>
        <w:rPr>
          <w:rFonts w:ascii="Arial" w:hAnsi="Arial" w:cs="Arial"/>
          <w:b/>
          <w:color w:val="FF0000"/>
          <w:sz w:val="20"/>
          <w:szCs w:val="20"/>
        </w:rPr>
      </w:pPr>
      <w:r>
        <w:rPr>
          <w:rFonts w:ascii="Arial" w:hAnsi="Arial" w:cs="Arial"/>
          <w:b/>
          <w:noProof/>
          <w:color w:val="FF0000"/>
          <w:sz w:val="20"/>
          <w:szCs w:val="20"/>
        </w:rPr>
        <w:drawing>
          <wp:inline distT="0" distB="0" distL="0" distR="0" wp14:anchorId="1C579FFE" wp14:editId="68A19522">
            <wp:extent cx="476250" cy="492020"/>
            <wp:effectExtent l="0" t="0" r="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0223" cy="496124"/>
                    </a:xfrm>
                    <a:prstGeom prst="rect">
                      <a:avLst/>
                    </a:prstGeom>
                    <a:noFill/>
                    <a:ln>
                      <a:noFill/>
                    </a:ln>
                  </pic:spPr>
                </pic:pic>
              </a:graphicData>
            </a:graphic>
          </wp:inline>
        </w:drawing>
      </w:r>
      <w:r>
        <w:rPr>
          <w:rFonts w:ascii="Arial" w:hAnsi="Arial" w:cs="Arial"/>
          <w:b/>
          <w:color w:val="FF0000"/>
          <w:sz w:val="20"/>
          <w:szCs w:val="20"/>
        </w:rPr>
        <w:t xml:space="preserve"> </w:t>
      </w:r>
      <w:r w:rsidR="007E0E12">
        <w:rPr>
          <w:rFonts w:ascii="Arial" w:hAnsi="Arial" w:cs="Arial"/>
          <w:b/>
          <w:color w:val="FF0000"/>
          <w:sz w:val="20"/>
          <w:szCs w:val="20"/>
        </w:rPr>
        <w:t xml:space="preserve">  </w:t>
      </w:r>
      <w:r w:rsidR="007E0E12">
        <w:rPr>
          <w:rFonts w:ascii="Arial" w:hAnsi="Arial" w:cs="Arial"/>
          <w:b/>
          <w:noProof/>
          <w:color w:val="FF0000"/>
          <w:sz w:val="20"/>
          <w:szCs w:val="20"/>
        </w:rPr>
        <w:drawing>
          <wp:inline distT="0" distB="0" distL="0" distR="0" wp14:anchorId="19E32C98" wp14:editId="3B3284A2">
            <wp:extent cx="1102021" cy="409575"/>
            <wp:effectExtent l="0" t="0" r="317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0410" cy="416409"/>
                    </a:xfrm>
                    <a:prstGeom prst="rect">
                      <a:avLst/>
                    </a:prstGeom>
                    <a:noFill/>
                    <a:ln>
                      <a:noFill/>
                    </a:ln>
                  </pic:spPr>
                </pic:pic>
              </a:graphicData>
            </a:graphic>
          </wp:inline>
        </w:drawing>
      </w:r>
      <w:r w:rsidR="007E0E12">
        <w:rPr>
          <w:rFonts w:ascii="Arial" w:hAnsi="Arial" w:cs="Arial"/>
          <w:b/>
          <w:color w:val="FF0000"/>
          <w:sz w:val="20"/>
          <w:szCs w:val="20"/>
        </w:rPr>
        <w:t xml:space="preserve">    </w:t>
      </w:r>
      <w:r w:rsidR="007E0E12">
        <w:rPr>
          <w:rFonts w:ascii="Arial" w:hAnsi="Arial" w:cs="Arial"/>
          <w:b/>
          <w:noProof/>
          <w:color w:val="FF0000"/>
          <w:sz w:val="20"/>
          <w:szCs w:val="20"/>
        </w:rPr>
        <w:drawing>
          <wp:inline distT="0" distB="0" distL="0" distR="0" wp14:anchorId="1C170449" wp14:editId="3A0C184C">
            <wp:extent cx="589236" cy="438150"/>
            <wp:effectExtent l="0" t="0" r="190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33" cy="441940"/>
                    </a:xfrm>
                    <a:prstGeom prst="rect">
                      <a:avLst/>
                    </a:prstGeom>
                    <a:noFill/>
                  </pic:spPr>
                </pic:pic>
              </a:graphicData>
            </a:graphic>
          </wp:inline>
        </w:drawing>
      </w:r>
      <w:r w:rsidR="007E0E12">
        <w:rPr>
          <w:rFonts w:ascii="Arial" w:hAnsi="Arial" w:cs="Arial"/>
          <w:b/>
          <w:color w:val="FF0000"/>
          <w:sz w:val="20"/>
          <w:szCs w:val="20"/>
        </w:rPr>
        <w:t xml:space="preserve"> </w:t>
      </w:r>
      <w:r w:rsidR="007E0E12">
        <w:rPr>
          <w:rFonts w:ascii="Arial" w:hAnsi="Arial" w:cs="Arial"/>
          <w:b/>
          <w:noProof/>
          <w:color w:val="FF0000"/>
          <w:sz w:val="20"/>
          <w:szCs w:val="20"/>
        </w:rPr>
        <w:drawing>
          <wp:inline distT="0" distB="0" distL="0" distR="0" wp14:anchorId="7D0CE2CA" wp14:editId="72654EA6">
            <wp:extent cx="882990" cy="37147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3867" cy="376051"/>
                    </a:xfrm>
                    <a:prstGeom prst="rect">
                      <a:avLst/>
                    </a:prstGeom>
                    <a:noFill/>
                    <a:ln>
                      <a:noFill/>
                    </a:ln>
                  </pic:spPr>
                </pic:pic>
              </a:graphicData>
            </a:graphic>
          </wp:inline>
        </w:drawing>
      </w:r>
      <w:r w:rsidR="007E0E12">
        <w:rPr>
          <w:rFonts w:ascii="Arial" w:hAnsi="Arial" w:cs="Arial"/>
          <w:b/>
          <w:color w:val="FF0000"/>
          <w:sz w:val="20"/>
          <w:szCs w:val="20"/>
        </w:rPr>
        <w:t xml:space="preserve"> </w:t>
      </w:r>
      <w:r w:rsidR="007E0E12">
        <w:rPr>
          <w:rFonts w:ascii="Arial" w:hAnsi="Arial" w:cs="Arial"/>
          <w:b/>
          <w:noProof/>
          <w:color w:val="FF0000"/>
          <w:sz w:val="20"/>
          <w:szCs w:val="20"/>
        </w:rPr>
        <w:drawing>
          <wp:inline distT="0" distB="0" distL="0" distR="0" wp14:anchorId="33872C78" wp14:editId="63C1BC4D">
            <wp:extent cx="828675" cy="414338"/>
            <wp:effectExtent l="0" t="0" r="0" b="508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1461" cy="415731"/>
                    </a:xfrm>
                    <a:prstGeom prst="rect">
                      <a:avLst/>
                    </a:prstGeom>
                    <a:noFill/>
                  </pic:spPr>
                </pic:pic>
              </a:graphicData>
            </a:graphic>
          </wp:inline>
        </w:drawing>
      </w:r>
      <w:r w:rsidR="007E0E12">
        <w:rPr>
          <w:rFonts w:ascii="Arial" w:hAnsi="Arial" w:cs="Arial"/>
          <w:b/>
          <w:color w:val="FF0000"/>
          <w:sz w:val="20"/>
          <w:szCs w:val="20"/>
        </w:rPr>
        <w:t xml:space="preserve"> </w:t>
      </w:r>
      <w:r w:rsidR="00B15928">
        <w:rPr>
          <w:rFonts w:ascii="Arial" w:hAnsi="Arial" w:cs="Arial"/>
          <w:b/>
          <w:noProof/>
          <w:color w:val="FF0000"/>
          <w:sz w:val="20"/>
          <w:szCs w:val="20"/>
        </w:rPr>
        <w:drawing>
          <wp:inline distT="0" distB="0" distL="0" distR="0" wp14:anchorId="1A61C578" wp14:editId="33E14ADC">
            <wp:extent cx="771525" cy="34354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1038" cy="361141"/>
                    </a:xfrm>
                    <a:prstGeom prst="rect">
                      <a:avLst/>
                    </a:prstGeom>
                    <a:noFill/>
                    <a:ln>
                      <a:noFill/>
                    </a:ln>
                  </pic:spPr>
                </pic:pic>
              </a:graphicData>
            </a:graphic>
          </wp:inline>
        </w:drawing>
      </w:r>
      <w:r w:rsidR="007E0E12">
        <w:rPr>
          <w:rFonts w:ascii="Arial" w:hAnsi="Arial" w:cs="Arial"/>
          <w:b/>
          <w:noProof/>
          <w:color w:val="FF0000"/>
          <w:sz w:val="20"/>
          <w:szCs w:val="20"/>
        </w:rPr>
        <w:t xml:space="preserve">   </w:t>
      </w:r>
      <w:r w:rsidR="00AE7B4A">
        <w:rPr>
          <w:rFonts w:ascii="Arial" w:hAnsi="Arial" w:cs="Arial"/>
          <w:b/>
          <w:noProof/>
          <w:color w:val="FF0000"/>
          <w:sz w:val="20"/>
          <w:szCs w:val="20"/>
        </w:rPr>
        <w:drawing>
          <wp:inline distT="0" distB="0" distL="0" distR="0" wp14:anchorId="48C0E7A3">
            <wp:extent cx="622479" cy="158750"/>
            <wp:effectExtent l="0" t="0" r="635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2479" cy="158750"/>
                    </a:xfrm>
                    <a:prstGeom prst="rect">
                      <a:avLst/>
                    </a:prstGeom>
                    <a:noFill/>
                  </pic:spPr>
                </pic:pic>
              </a:graphicData>
            </a:graphic>
          </wp:inline>
        </w:drawing>
      </w:r>
    </w:p>
    <w:p w:rsidR="003927AF" w:rsidRPr="00DF7E10" w:rsidRDefault="003927AF" w:rsidP="00E73AF6">
      <w:pPr>
        <w:pStyle w:val="NormalWeb"/>
        <w:spacing w:before="0" w:beforeAutospacing="0" w:after="0" w:afterAutospacing="0"/>
        <w:rPr>
          <w:rFonts w:ascii="Arial" w:hAnsi="Arial" w:cs="Arial"/>
          <w:color w:val="000000"/>
          <w:sz w:val="20"/>
          <w:szCs w:val="20"/>
        </w:rPr>
      </w:pPr>
    </w:p>
    <w:p w:rsidR="00D966DD" w:rsidRPr="001552FF" w:rsidRDefault="00D966DD" w:rsidP="00D966DD">
      <w:pPr>
        <w:pStyle w:val="NormalWeb"/>
        <w:spacing w:before="0" w:beforeAutospacing="0" w:after="0" w:afterAutospacing="0"/>
        <w:rPr>
          <w:rFonts w:ascii="Arial" w:hAnsi="Arial" w:cs="Arial"/>
          <w:b/>
          <w:color w:val="000000"/>
          <w:sz w:val="20"/>
          <w:szCs w:val="20"/>
        </w:rPr>
      </w:pPr>
      <w:r w:rsidRPr="001552FF">
        <w:rPr>
          <w:rFonts w:ascii="Arial" w:hAnsi="Arial" w:cs="Arial"/>
          <w:b/>
          <w:color w:val="000000"/>
          <w:sz w:val="20"/>
          <w:szCs w:val="20"/>
        </w:rPr>
        <w:t xml:space="preserve">COMMUNIQUE DE PRESSE </w:t>
      </w:r>
    </w:p>
    <w:p w:rsidR="00D17AFD" w:rsidRPr="00DF7E10" w:rsidRDefault="00D17AFD" w:rsidP="00E73AF6">
      <w:pPr>
        <w:pStyle w:val="NormalWeb"/>
        <w:spacing w:before="0" w:beforeAutospacing="0" w:after="0" w:afterAutospacing="0"/>
        <w:rPr>
          <w:rFonts w:ascii="Arial" w:hAnsi="Arial" w:cs="Arial"/>
          <w:color w:val="000000"/>
          <w:sz w:val="20"/>
          <w:szCs w:val="20"/>
        </w:rPr>
      </w:pPr>
    </w:p>
    <w:p w:rsidR="0002250C" w:rsidRPr="00685388" w:rsidRDefault="00DF7E10" w:rsidP="00E73AF6">
      <w:pPr>
        <w:pStyle w:val="NormalWeb"/>
        <w:spacing w:before="0" w:beforeAutospacing="0" w:after="0" w:afterAutospacing="0"/>
        <w:rPr>
          <w:rFonts w:ascii="Arial" w:hAnsi="Arial" w:cs="Arial"/>
          <w:b/>
          <w:sz w:val="28"/>
          <w:szCs w:val="28"/>
        </w:rPr>
      </w:pPr>
      <w:r w:rsidRPr="00964594">
        <w:rPr>
          <w:rFonts w:ascii="Arial" w:hAnsi="Arial" w:cs="Arial"/>
          <w:b/>
          <w:sz w:val="28"/>
          <w:szCs w:val="28"/>
        </w:rPr>
        <w:t xml:space="preserve">Dire à l’Union européenne « Stop aux expositions aux perturbateurs endocriniens » devient facile avec un outil proposé par des ONG </w:t>
      </w:r>
      <w:r w:rsidR="00371F0E" w:rsidRPr="00964594">
        <w:rPr>
          <w:rFonts w:ascii="Arial" w:hAnsi="Arial" w:cs="Arial"/>
          <w:b/>
          <w:sz w:val="28"/>
          <w:szCs w:val="28"/>
        </w:rPr>
        <w:t xml:space="preserve"> </w:t>
      </w:r>
    </w:p>
    <w:p w:rsidR="00DF7E10" w:rsidRPr="00685388" w:rsidRDefault="00DF7E10" w:rsidP="00E73AF6">
      <w:pPr>
        <w:pStyle w:val="NormalWeb"/>
        <w:spacing w:before="0" w:beforeAutospacing="0" w:after="0" w:afterAutospacing="0"/>
        <w:rPr>
          <w:rFonts w:ascii="Arial" w:hAnsi="Arial" w:cs="Arial"/>
          <w:color w:val="000000"/>
          <w:sz w:val="20"/>
          <w:szCs w:val="20"/>
        </w:rPr>
      </w:pPr>
    </w:p>
    <w:p w:rsidR="00175129" w:rsidRDefault="00B15928" w:rsidP="00E73AF6">
      <w:pPr>
        <w:spacing w:after="0" w:line="240" w:lineRule="auto"/>
        <w:jc w:val="both"/>
        <w:rPr>
          <w:rFonts w:ascii="Arial" w:hAnsi="Arial" w:cs="Arial"/>
          <w:color w:val="000000"/>
          <w:sz w:val="20"/>
          <w:szCs w:val="20"/>
        </w:rPr>
      </w:pPr>
      <w:r>
        <w:rPr>
          <w:rFonts w:ascii="Arial" w:hAnsi="Arial" w:cs="Arial"/>
          <w:b/>
          <w:i/>
          <w:color w:val="000000"/>
          <w:sz w:val="20"/>
          <w:szCs w:val="20"/>
        </w:rPr>
        <w:t>Paris</w:t>
      </w:r>
      <w:r w:rsidR="00560130" w:rsidRPr="00D17AFD">
        <w:rPr>
          <w:rFonts w:ascii="Arial" w:hAnsi="Arial" w:cs="Arial"/>
          <w:b/>
          <w:i/>
          <w:color w:val="000000"/>
          <w:sz w:val="20"/>
          <w:szCs w:val="20"/>
        </w:rPr>
        <w:t xml:space="preserve">, </w:t>
      </w:r>
      <w:r w:rsidR="007E0E12">
        <w:rPr>
          <w:rFonts w:ascii="Arial" w:hAnsi="Arial" w:cs="Arial"/>
          <w:b/>
          <w:i/>
          <w:color w:val="000000"/>
          <w:sz w:val="20"/>
          <w:szCs w:val="20"/>
        </w:rPr>
        <w:t>le 8</w:t>
      </w:r>
      <w:r w:rsidR="00D17AFD" w:rsidRPr="00D17AFD">
        <w:rPr>
          <w:rFonts w:ascii="Arial" w:hAnsi="Arial" w:cs="Arial"/>
          <w:b/>
          <w:i/>
          <w:color w:val="000000"/>
          <w:sz w:val="20"/>
          <w:szCs w:val="20"/>
        </w:rPr>
        <w:t xml:space="preserve"> décembre 2014 </w:t>
      </w:r>
      <w:r w:rsidR="00560130" w:rsidRPr="00D17AFD">
        <w:rPr>
          <w:rFonts w:ascii="Arial" w:hAnsi="Arial" w:cs="Arial"/>
          <w:color w:val="000000"/>
          <w:sz w:val="20"/>
          <w:szCs w:val="20"/>
        </w:rPr>
        <w:t xml:space="preserve">– </w:t>
      </w:r>
      <w:r w:rsidR="00D17AFD" w:rsidRPr="00D17AFD">
        <w:rPr>
          <w:rFonts w:ascii="Arial" w:hAnsi="Arial" w:cs="Arial"/>
          <w:color w:val="000000"/>
          <w:sz w:val="20"/>
          <w:szCs w:val="20"/>
        </w:rPr>
        <w:t xml:space="preserve">La coalition </w:t>
      </w:r>
      <w:r w:rsidR="00560130" w:rsidRPr="00D17AFD">
        <w:rPr>
          <w:rFonts w:ascii="Arial" w:hAnsi="Arial" w:cs="Arial"/>
          <w:i/>
          <w:color w:val="000000"/>
          <w:sz w:val="20"/>
          <w:szCs w:val="20"/>
        </w:rPr>
        <w:t>EDC</w:t>
      </w:r>
      <w:r w:rsidR="004626F4" w:rsidRPr="00D17AFD">
        <w:rPr>
          <w:rFonts w:ascii="Arial" w:hAnsi="Arial" w:cs="Arial"/>
          <w:i/>
          <w:color w:val="000000"/>
          <w:sz w:val="20"/>
          <w:szCs w:val="20"/>
        </w:rPr>
        <w:t>-</w:t>
      </w:r>
      <w:r w:rsidR="00560130" w:rsidRPr="00D81A03">
        <w:rPr>
          <w:rFonts w:ascii="Arial" w:hAnsi="Arial" w:cs="Arial"/>
          <w:i/>
          <w:color w:val="000000"/>
          <w:sz w:val="20"/>
          <w:szCs w:val="20"/>
        </w:rPr>
        <w:t>Free Europe</w:t>
      </w:r>
      <w:r w:rsidR="00D81A03" w:rsidRPr="00D81A03">
        <w:rPr>
          <w:rFonts w:ascii="Arial" w:hAnsi="Arial" w:cs="Arial"/>
          <w:color w:val="000000"/>
          <w:sz w:val="20"/>
          <w:szCs w:val="20"/>
        </w:rPr>
        <w:t xml:space="preserve"> (Coalition pour une Europe sans perturbateurs endocriniens)</w:t>
      </w:r>
      <w:r w:rsidR="004626F4" w:rsidRPr="00D17AFD">
        <w:rPr>
          <w:rFonts w:ascii="Arial" w:hAnsi="Arial" w:cs="Arial"/>
          <w:color w:val="000000"/>
          <w:sz w:val="20"/>
          <w:szCs w:val="20"/>
        </w:rPr>
        <w:t xml:space="preserve"> </w:t>
      </w:r>
      <w:r w:rsidR="00D17AFD" w:rsidRPr="00D17AFD">
        <w:rPr>
          <w:rFonts w:ascii="Arial" w:hAnsi="Arial" w:cs="Arial"/>
          <w:color w:val="000000"/>
          <w:sz w:val="20"/>
          <w:szCs w:val="20"/>
        </w:rPr>
        <w:t xml:space="preserve">vient de lancer une plateforme en ligne </w:t>
      </w:r>
      <w:r w:rsidR="00D17AFD">
        <w:rPr>
          <w:rFonts w:ascii="Arial" w:hAnsi="Arial" w:cs="Arial"/>
          <w:color w:val="000000"/>
          <w:sz w:val="20"/>
          <w:szCs w:val="20"/>
        </w:rPr>
        <w:t xml:space="preserve">destinée au grand public pour « Dire NON aux perturbateurs endocriniens ». </w:t>
      </w:r>
      <w:r w:rsidR="00D17AFD" w:rsidRPr="00D17AFD">
        <w:rPr>
          <w:rFonts w:ascii="Arial" w:hAnsi="Arial" w:cs="Arial"/>
          <w:color w:val="000000"/>
          <w:sz w:val="20"/>
          <w:szCs w:val="20"/>
        </w:rPr>
        <w:t>La plateforme permet à chacun de demander à la Commission européenne de “</w:t>
      </w:r>
      <w:r w:rsidR="00D17AFD">
        <w:rPr>
          <w:rFonts w:ascii="Arial" w:hAnsi="Arial" w:cs="Arial"/>
          <w:color w:val="000000"/>
          <w:sz w:val="20"/>
          <w:szCs w:val="20"/>
        </w:rPr>
        <w:t xml:space="preserve">faire </w:t>
      </w:r>
      <w:r w:rsidR="00685388">
        <w:rPr>
          <w:rFonts w:ascii="Arial" w:hAnsi="Arial" w:cs="Arial"/>
          <w:color w:val="000000"/>
          <w:sz w:val="20"/>
          <w:szCs w:val="20"/>
        </w:rPr>
        <w:t>disparaître</w:t>
      </w:r>
      <w:r w:rsidR="00D17AFD" w:rsidRPr="00D17AFD">
        <w:rPr>
          <w:rFonts w:ascii="Arial" w:hAnsi="Arial" w:cs="Arial"/>
          <w:color w:val="000000"/>
          <w:sz w:val="20"/>
          <w:szCs w:val="20"/>
        </w:rPr>
        <w:t xml:space="preserve"> les perturbateurs endocriniens de nos vies pour protéger la santé”</w:t>
      </w:r>
      <w:r w:rsidR="00685388">
        <w:rPr>
          <w:rFonts w:ascii="Arial" w:hAnsi="Arial" w:cs="Arial"/>
          <w:color w:val="000000"/>
          <w:sz w:val="20"/>
          <w:szCs w:val="20"/>
        </w:rPr>
        <w:t>, en leur donnant la possibilité de répondre à une consultation publique de l’UE</w:t>
      </w:r>
      <w:r w:rsidR="00964594">
        <w:rPr>
          <w:rFonts w:ascii="Arial" w:hAnsi="Arial" w:cs="Arial"/>
          <w:color w:val="000000"/>
          <w:sz w:val="20"/>
          <w:szCs w:val="20"/>
        </w:rPr>
        <w:t xml:space="preserve"> </w:t>
      </w:r>
      <w:r w:rsidR="00ED3016" w:rsidRPr="00964594">
        <w:rPr>
          <w:rFonts w:ascii="Arial" w:hAnsi="Arial" w:cs="Arial"/>
          <w:b/>
          <w:color w:val="002060"/>
          <w:sz w:val="20"/>
          <w:szCs w:val="20"/>
        </w:rPr>
        <w:t>(1)</w:t>
      </w:r>
      <w:r w:rsidR="00685388" w:rsidRPr="00964594">
        <w:rPr>
          <w:rFonts w:ascii="Arial" w:hAnsi="Arial" w:cs="Arial"/>
          <w:color w:val="000000"/>
          <w:sz w:val="20"/>
          <w:szCs w:val="20"/>
        </w:rPr>
        <w:t>.</w:t>
      </w:r>
      <w:r w:rsidR="00E73AF6" w:rsidRPr="00964594">
        <w:rPr>
          <w:rFonts w:ascii="Arial" w:hAnsi="Arial" w:cs="Arial"/>
          <w:color w:val="000000"/>
          <w:sz w:val="20"/>
          <w:szCs w:val="20"/>
        </w:rPr>
        <w:t xml:space="preserve"> </w:t>
      </w:r>
    </w:p>
    <w:p w:rsidR="00301E16" w:rsidRPr="00301E16" w:rsidRDefault="00071CC2" w:rsidP="00E73AF6">
      <w:pPr>
        <w:spacing w:after="0" w:line="240" w:lineRule="auto"/>
        <w:jc w:val="both"/>
        <w:rPr>
          <w:rFonts w:ascii="Arial" w:hAnsi="Arial" w:cs="Arial"/>
          <w:sz w:val="20"/>
          <w:szCs w:val="20"/>
        </w:rPr>
      </w:pPr>
      <w:r>
        <w:rPr>
          <w:rFonts w:ascii="Arial" w:hAnsi="Arial" w:cs="Arial"/>
          <w:sz w:val="20"/>
          <w:szCs w:val="20"/>
        </w:rPr>
        <w:t>La</w:t>
      </w:r>
      <w:r w:rsidR="00685388" w:rsidRPr="00685388">
        <w:rPr>
          <w:rFonts w:ascii="Arial" w:hAnsi="Arial" w:cs="Arial"/>
          <w:sz w:val="20"/>
          <w:szCs w:val="20"/>
        </w:rPr>
        <w:t xml:space="preserve"> Commission européenne a manqué l’échéance de décembre 2013 </w:t>
      </w:r>
      <w:r w:rsidR="00685388">
        <w:rPr>
          <w:rFonts w:ascii="Arial" w:hAnsi="Arial" w:cs="Arial"/>
          <w:sz w:val="20"/>
          <w:szCs w:val="20"/>
        </w:rPr>
        <w:t xml:space="preserve">fixée pour l’adoption de critères permettant d’identifier </w:t>
      </w:r>
      <w:r w:rsidR="00685388" w:rsidRPr="005867A5">
        <w:rPr>
          <w:rFonts w:ascii="Arial" w:hAnsi="Arial" w:cs="Arial"/>
          <w:sz w:val="20"/>
          <w:szCs w:val="20"/>
        </w:rPr>
        <w:t>les perturbateurs endocriniens (PE)</w:t>
      </w:r>
      <w:r w:rsidR="005867A5" w:rsidRPr="005867A5">
        <w:rPr>
          <w:rFonts w:ascii="Arial" w:hAnsi="Arial" w:cs="Arial"/>
          <w:sz w:val="20"/>
          <w:szCs w:val="20"/>
        </w:rPr>
        <w:t xml:space="preserve"> </w:t>
      </w:r>
      <w:r w:rsidR="005867A5" w:rsidRPr="005867A5">
        <w:rPr>
          <w:rFonts w:ascii="Arial" w:hAnsi="Arial" w:cs="Arial"/>
          <w:b/>
          <w:color w:val="002060"/>
          <w:sz w:val="20"/>
          <w:szCs w:val="20"/>
        </w:rPr>
        <w:t>(2)</w:t>
      </w:r>
      <w:r w:rsidR="00685388" w:rsidRPr="005867A5">
        <w:rPr>
          <w:rFonts w:ascii="Arial" w:hAnsi="Arial" w:cs="Arial"/>
          <w:color w:val="002060"/>
          <w:sz w:val="20"/>
          <w:szCs w:val="20"/>
        </w:rPr>
        <w:t xml:space="preserve">, </w:t>
      </w:r>
      <w:r w:rsidR="00685388">
        <w:rPr>
          <w:rFonts w:ascii="Arial" w:hAnsi="Arial" w:cs="Arial"/>
          <w:sz w:val="20"/>
          <w:szCs w:val="20"/>
        </w:rPr>
        <w:t>à cause d’un lobbying intense mené de la part d’industriels des pesticides et de la chimie. Cependant, une consultation publique vient d’être lancée pour rec</w:t>
      </w:r>
      <w:r w:rsidR="00371F0E">
        <w:rPr>
          <w:rFonts w:ascii="Arial" w:hAnsi="Arial" w:cs="Arial"/>
          <w:sz w:val="20"/>
          <w:szCs w:val="20"/>
        </w:rPr>
        <w:t>ueillir l’</w:t>
      </w:r>
      <w:r w:rsidR="00964594">
        <w:rPr>
          <w:rFonts w:ascii="Arial" w:hAnsi="Arial" w:cs="Arial"/>
          <w:sz w:val="20"/>
          <w:szCs w:val="20"/>
        </w:rPr>
        <w:t xml:space="preserve">avis des citoyens </w:t>
      </w:r>
      <w:r w:rsidR="005867A5">
        <w:rPr>
          <w:rFonts w:ascii="Arial" w:hAnsi="Arial" w:cs="Arial"/>
          <w:b/>
          <w:color w:val="002060"/>
          <w:sz w:val="20"/>
          <w:szCs w:val="20"/>
        </w:rPr>
        <w:t>(3</w:t>
      </w:r>
      <w:r w:rsidR="00371F0E" w:rsidRPr="00964594">
        <w:rPr>
          <w:rFonts w:ascii="Arial" w:hAnsi="Arial" w:cs="Arial"/>
          <w:b/>
          <w:color w:val="002060"/>
          <w:sz w:val="20"/>
          <w:szCs w:val="20"/>
        </w:rPr>
        <w:t>)</w:t>
      </w:r>
      <w:r w:rsidR="00964594" w:rsidRPr="00964594">
        <w:rPr>
          <w:rFonts w:ascii="Arial" w:hAnsi="Arial" w:cs="Arial"/>
          <w:sz w:val="20"/>
          <w:szCs w:val="20"/>
        </w:rPr>
        <w:t>.</w:t>
      </w:r>
      <w:r w:rsidR="00964594">
        <w:rPr>
          <w:rFonts w:ascii="Arial" w:hAnsi="Arial" w:cs="Arial"/>
          <w:sz w:val="20"/>
          <w:szCs w:val="20"/>
        </w:rPr>
        <w:t xml:space="preserve"> </w:t>
      </w:r>
      <w:r w:rsidR="00EC1C2F">
        <w:rPr>
          <w:rFonts w:ascii="Arial" w:hAnsi="Arial" w:cs="Arial"/>
          <w:sz w:val="20"/>
          <w:szCs w:val="20"/>
        </w:rPr>
        <w:t>«</w:t>
      </w:r>
      <w:r w:rsidR="00371F0E" w:rsidRPr="00EC1C2F">
        <w:rPr>
          <w:rFonts w:ascii="Arial" w:hAnsi="Arial" w:cs="Arial"/>
          <w:i/>
          <w:sz w:val="20"/>
          <w:szCs w:val="20"/>
        </w:rPr>
        <w:t xml:space="preserve">Cette consultation </w:t>
      </w:r>
      <w:r w:rsidR="00EC1C2F" w:rsidRPr="00EC1C2F">
        <w:rPr>
          <w:rFonts w:ascii="Arial" w:hAnsi="Arial" w:cs="Arial"/>
          <w:i/>
          <w:sz w:val="20"/>
          <w:szCs w:val="20"/>
        </w:rPr>
        <w:t xml:space="preserve">est une opportunité : elle </w:t>
      </w:r>
      <w:r w:rsidR="00371F0E" w:rsidRPr="00EC1C2F">
        <w:rPr>
          <w:rFonts w:ascii="Arial" w:hAnsi="Arial" w:cs="Arial"/>
          <w:i/>
          <w:sz w:val="20"/>
          <w:szCs w:val="20"/>
        </w:rPr>
        <w:t>intervient alors que la Ministre de l’Ecologie Ségolène Royal s</w:t>
      </w:r>
      <w:r w:rsidR="00301E16" w:rsidRPr="00EC1C2F">
        <w:rPr>
          <w:rFonts w:ascii="Arial" w:hAnsi="Arial" w:cs="Arial"/>
          <w:i/>
          <w:sz w:val="20"/>
          <w:szCs w:val="20"/>
        </w:rPr>
        <w:t xml:space="preserve">’est engagée </w:t>
      </w:r>
      <w:r w:rsidR="005026F2">
        <w:rPr>
          <w:rFonts w:ascii="Arial" w:hAnsi="Arial" w:cs="Arial"/>
          <w:i/>
          <w:sz w:val="20"/>
          <w:szCs w:val="20"/>
        </w:rPr>
        <w:t xml:space="preserve">tout récemment lors de la Conférence environnementale </w:t>
      </w:r>
      <w:r w:rsidR="00301E16" w:rsidRPr="00EC1C2F">
        <w:rPr>
          <w:rFonts w:ascii="Arial" w:hAnsi="Arial" w:cs="Arial"/>
          <w:i/>
          <w:sz w:val="20"/>
          <w:szCs w:val="20"/>
        </w:rPr>
        <w:t xml:space="preserve">à demander </w:t>
      </w:r>
      <w:r w:rsidR="00371F0E" w:rsidRPr="00EC1C2F">
        <w:rPr>
          <w:rFonts w:ascii="Arial" w:hAnsi="Arial" w:cs="Arial"/>
          <w:i/>
          <w:sz w:val="20"/>
          <w:szCs w:val="20"/>
        </w:rPr>
        <w:t>à l’Union européenne d’accélérer les travaux sur une définition</w:t>
      </w:r>
      <w:r w:rsidR="00301E16" w:rsidRPr="00EC1C2F">
        <w:rPr>
          <w:rFonts w:ascii="Arial" w:hAnsi="Arial" w:cs="Arial"/>
          <w:i/>
          <w:sz w:val="20"/>
          <w:szCs w:val="20"/>
        </w:rPr>
        <w:t xml:space="preserve"> des perturbateurs endocriniens </w:t>
      </w:r>
      <w:r w:rsidR="00371F0E" w:rsidRPr="00EC1C2F">
        <w:rPr>
          <w:rFonts w:ascii="Arial" w:hAnsi="Arial" w:cs="Arial"/>
          <w:i/>
          <w:sz w:val="20"/>
          <w:szCs w:val="20"/>
        </w:rPr>
        <w:t>lors du prochain Conseil des Ministres Environnement des 28</w:t>
      </w:r>
      <w:r w:rsidR="00301E16" w:rsidRPr="00EC1C2F">
        <w:rPr>
          <w:rFonts w:ascii="Arial" w:hAnsi="Arial" w:cs="Arial"/>
          <w:i/>
          <w:sz w:val="20"/>
          <w:szCs w:val="20"/>
        </w:rPr>
        <w:t>,</w:t>
      </w:r>
      <w:r w:rsidR="00371F0E" w:rsidRPr="00EC1C2F">
        <w:rPr>
          <w:rFonts w:ascii="Arial" w:hAnsi="Arial" w:cs="Arial"/>
          <w:i/>
          <w:sz w:val="20"/>
          <w:szCs w:val="20"/>
        </w:rPr>
        <w:t xml:space="preserve"> le 17 décembre</w:t>
      </w:r>
      <w:r w:rsidR="00C15376" w:rsidRPr="00EC1C2F">
        <w:rPr>
          <w:rFonts w:ascii="Arial" w:hAnsi="Arial" w:cs="Arial"/>
          <w:i/>
          <w:sz w:val="20"/>
          <w:szCs w:val="20"/>
        </w:rPr>
        <w:t xml:space="preserve"> </w:t>
      </w:r>
      <w:r w:rsidR="00301E16" w:rsidRPr="00EC1C2F">
        <w:rPr>
          <w:rFonts w:ascii="Arial" w:hAnsi="Arial" w:cs="Arial"/>
          <w:i/>
          <w:sz w:val="20"/>
          <w:szCs w:val="20"/>
        </w:rPr>
        <w:t>prochain</w:t>
      </w:r>
      <w:r w:rsidR="00EC1C2F">
        <w:rPr>
          <w:rFonts w:ascii="Arial" w:hAnsi="Arial" w:cs="Arial"/>
          <w:sz w:val="20"/>
          <w:szCs w:val="20"/>
        </w:rPr>
        <w:t> »</w:t>
      </w:r>
      <w:r w:rsidR="00E73AF6">
        <w:rPr>
          <w:rFonts w:ascii="Arial" w:hAnsi="Arial" w:cs="Arial"/>
          <w:sz w:val="20"/>
          <w:szCs w:val="20"/>
        </w:rPr>
        <w:t>, estime</w:t>
      </w:r>
      <w:r w:rsidR="00EC1C2F">
        <w:rPr>
          <w:rFonts w:ascii="Arial" w:hAnsi="Arial" w:cs="Arial"/>
          <w:sz w:val="20"/>
          <w:szCs w:val="20"/>
        </w:rPr>
        <w:t xml:space="preserve"> Elisabeth Ruffinengo, responsable plaidoyer pour WECF </w:t>
      </w:r>
      <w:r w:rsidR="00964594">
        <w:rPr>
          <w:rFonts w:ascii="Arial" w:hAnsi="Arial" w:cs="Arial"/>
          <w:sz w:val="20"/>
          <w:szCs w:val="20"/>
        </w:rPr>
        <w:t xml:space="preserve">France </w:t>
      </w:r>
      <w:r w:rsidR="00B40AC5">
        <w:rPr>
          <w:rFonts w:ascii="Arial" w:hAnsi="Arial" w:cs="Arial"/>
          <w:b/>
          <w:color w:val="002060"/>
          <w:sz w:val="20"/>
          <w:szCs w:val="20"/>
        </w:rPr>
        <w:t>(4</w:t>
      </w:r>
      <w:r w:rsidR="00371F0E" w:rsidRPr="00964594">
        <w:rPr>
          <w:rFonts w:ascii="Arial" w:hAnsi="Arial" w:cs="Arial"/>
          <w:b/>
          <w:color w:val="002060"/>
          <w:sz w:val="20"/>
          <w:szCs w:val="20"/>
        </w:rPr>
        <w:t>)</w:t>
      </w:r>
      <w:r w:rsidR="00964594" w:rsidRPr="00964594">
        <w:rPr>
          <w:rFonts w:ascii="Arial" w:hAnsi="Arial" w:cs="Arial"/>
          <w:color w:val="002060"/>
          <w:sz w:val="20"/>
          <w:szCs w:val="20"/>
        </w:rPr>
        <w:t>.</w:t>
      </w:r>
      <w:r w:rsidR="004626F4" w:rsidRPr="00964594">
        <w:rPr>
          <w:rFonts w:ascii="Arial" w:hAnsi="Arial" w:cs="Arial"/>
          <w:color w:val="002060"/>
          <w:sz w:val="20"/>
          <w:szCs w:val="20"/>
        </w:rPr>
        <w:t xml:space="preserve"> </w:t>
      </w:r>
      <w:r w:rsidR="00301E16" w:rsidRPr="00301E16">
        <w:rPr>
          <w:rFonts w:ascii="Arial" w:hAnsi="Arial" w:cs="Arial"/>
          <w:sz w:val="20"/>
          <w:szCs w:val="20"/>
        </w:rPr>
        <w:t xml:space="preserve">Grâce à la plateforme, il est facile </w:t>
      </w:r>
      <w:r w:rsidR="00301E16">
        <w:rPr>
          <w:rFonts w:ascii="Arial" w:hAnsi="Arial" w:cs="Arial"/>
          <w:sz w:val="20"/>
          <w:szCs w:val="20"/>
        </w:rPr>
        <w:t xml:space="preserve">pour les citoyens européens et toute personne intéressée de prendre part à cette consultation sur ce sujet important qui concerne à la fois la santé publique, l’environnement, les écosystèmes et l’avenir des générations futures. </w:t>
      </w:r>
    </w:p>
    <w:p w:rsidR="00ED3016" w:rsidRPr="00301E16" w:rsidRDefault="00ED3016" w:rsidP="00E73AF6">
      <w:pPr>
        <w:spacing w:after="0" w:line="240" w:lineRule="auto"/>
        <w:rPr>
          <w:rFonts w:ascii="Arial" w:hAnsi="Arial" w:cs="Arial"/>
          <w:b/>
          <w:sz w:val="20"/>
          <w:szCs w:val="20"/>
        </w:rPr>
      </w:pPr>
    </w:p>
    <w:p w:rsidR="00E73AF6" w:rsidRDefault="00301E16" w:rsidP="00E73AF6">
      <w:pPr>
        <w:spacing w:after="0" w:line="240" w:lineRule="auto"/>
        <w:rPr>
          <w:rFonts w:ascii="Arial" w:hAnsi="Arial" w:cs="Arial"/>
          <w:b/>
          <w:sz w:val="20"/>
          <w:szCs w:val="20"/>
        </w:rPr>
      </w:pPr>
      <w:r w:rsidRPr="00085F81">
        <w:rPr>
          <w:rFonts w:ascii="Arial" w:hAnsi="Arial" w:cs="Arial"/>
          <w:b/>
          <w:sz w:val="20"/>
          <w:szCs w:val="20"/>
        </w:rPr>
        <w:t xml:space="preserve">La santé publique avant les </w:t>
      </w:r>
      <w:r w:rsidR="008024E2" w:rsidRPr="00085F81">
        <w:rPr>
          <w:rFonts w:ascii="Arial" w:hAnsi="Arial" w:cs="Arial"/>
          <w:b/>
          <w:sz w:val="20"/>
          <w:szCs w:val="20"/>
        </w:rPr>
        <w:t xml:space="preserve">bénéfices </w:t>
      </w:r>
      <w:r w:rsidR="00AB2861" w:rsidRPr="00085F81">
        <w:rPr>
          <w:rFonts w:ascii="Arial" w:hAnsi="Arial" w:cs="Arial"/>
          <w:b/>
          <w:sz w:val="20"/>
          <w:szCs w:val="20"/>
        </w:rPr>
        <w:t>économiques</w:t>
      </w:r>
    </w:p>
    <w:p w:rsidR="00880520" w:rsidRPr="00085F81" w:rsidRDefault="00880520" w:rsidP="00E73AF6">
      <w:pPr>
        <w:spacing w:after="0" w:line="240" w:lineRule="auto"/>
        <w:rPr>
          <w:rFonts w:ascii="Arial" w:hAnsi="Arial" w:cs="Arial"/>
          <w:b/>
          <w:sz w:val="20"/>
          <w:szCs w:val="20"/>
        </w:rPr>
      </w:pPr>
    </w:p>
    <w:p w:rsidR="00880520" w:rsidRPr="00E73AF6" w:rsidRDefault="00AB2861" w:rsidP="00E73AF6">
      <w:pPr>
        <w:spacing w:after="0" w:line="240" w:lineRule="auto"/>
        <w:jc w:val="both"/>
        <w:rPr>
          <w:rFonts w:ascii="Arial" w:hAnsi="Arial" w:cs="Arial"/>
          <w:sz w:val="20"/>
          <w:szCs w:val="20"/>
        </w:rPr>
      </w:pPr>
      <w:r w:rsidRPr="00AB2861">
        <w:rPr>
          <w:rFonts w:ascii="Arial" w:hAnsi="Arial" w:cs="Arial"/>
          <w:sz w:val="20"/>
          <w:szCs w:val="20"/>
        </w:rPr>
        <w:t xml:space="preserve">Les questions posées dans la consultation sont très techniques et sont orientées vers les </w:t>
      </w:r>
      <w:r>
        <w:rPr>
          <w:rFonts w:ascii="Arial" w:hAnsi="Arial" w:cs="Arial"/>
          <w:sz w:val="20"/>
          <w:szCs w:val="20"/>
        </w:rPr>
        <w:t>consé</w:t>
      </w:r>
      <w:r w:rsidRPr="00AB2861">
        <w:rPr>
          <w:rFonts w:ascii="Arial" w:hAnsi="Arial" w:cs="Arial"/>
          <w:sz w:val="20"/>
          <w:szCs w:val="20"/>
        </w:rPr>
        <w:t xml:space="preserve">quences du choix de telle ou telle définition des perturbateurs endocriniens </w:t>
      </w:r>
      <w:r>
        <w:rPr>
          <w:rFonts w:ascii="Arial" w:hAnsi="Arial" w:cs="Arial"/>
          <w:sz w:val="20"/>
          <w:szCs w:val="20"/>
        </w:rPr>
        <w:t xml:space="preserve">sur le secteur industriel. Des ONG de toute l’Europe ont travaillé ensemble pour aider les citoyens à exprimer leurs inquiétudes sur le sujet. Une meilleure réglementation des </w:t>
      </w:r>
      <w:r w:rsidR="00E73AF6">
        <w:rPr>
          <w:rFonts w:ascii="Arial" w:hAnsi="Arial" w:cs="Arial"/>
          <w:sz w:val="20"/>
          <w:szCs w:val="20"/>
        </w:rPr>
        <w:t>PE</w:t>
      </w:r>
      <w:r>
        <w:rPr>
          <w:rFonts w:ascii="Arial" w:hAnsi="Arial" w:cs="Arial"/>
          <w:sz w:val="20"/>
          <w:szCs w:val="20"/>
        </w:rPr>
        <w:t xml:space="preserve"> commence par une identification qui reflète de manière pertinente les données scientifiques et qui englobe tous les PE auxquels les populations et les écosystèmes sont exposés. </w:t>
      </w:r>
    </w:p>
    <w:p w:rsidR="000426B2" w:rsidRPr="008439AD" w:rsidRDefault="00276190" w:rsidP="00E73AF6">
      <w:pPr>
        <w:spacing w:after="0" w:line="240" w:lineRule="auto"/>
        <w:jc w:val="both"/>
        <w:rPr>
          <w:rFonts w:ascii="Arial" w:hAnsi="Arial" w:cs="Arial"/>
          <w:color w:val="002060"/>
          <w:sz w:val="20"/>
          <w:szCs w:val="20"/>
        </w:rPr>
      </w:pPr>
      <w:r w:rsidRPr="00276190">
        <w:rPr>
          <w:rFonts w:ascii="Arial" w:hAnsi="Arial" w:cs="Arial"/>
          <w:sz w:val="20"/>
          <w:szCs w:val="20"/>
        </w:rPr>
        <w:t>Décider ce qui est</w:t>
      </w:r>
      <w:r>
        <w:rPr>
          <w:rFonts w:ascii="Arial" w:hAnsi="Arial" w:cs="Arial"/>
          <w:sz w:val="20"/>
          <w:szCs w:val="20"/>
        </w:rPr>
        <w:t xml:space="preserve"> </w:t>
      </w:r>
      <w:r w:rsidRPr="00276190">
        <w:rPr>
          <w:rFonts w:ascii="Arial" w:hAnsi="Arial" w:cs="Arial"/>
          <w:sz w:val="20"/>
          <w:szCs w:val="20"/>
        </w:rPr>
        <w:t xml:space="preserve">PE </w:t>
      </w:r>
      <w:r>
        <w:rPr>
          <w:rFonts w:ascii="Arial" w:hAnsi="Arial" w:cs="Arial"/>
          <w:sz w:val="20"/>
          <w:szCs w:val="20"/>
        </w:rPr>
        <w:t>ou non doit se faire sur la base des i</w:t>
      </w:r>
      <w:r w:rsidR="002F5FF9">
        <w:rPr>
          <w:rFonts w:ascii="Arial" w:hAnsi="Arial" w:cs="Arial"/>
          <w:sz w:val="20"/>
          <w:szCs w:val="20"/>
        </w:rPr>
        <w:t>mpacts sur la santé plutôt que d</w:t>
      </w:r>
      <w:r>
        <w:rPr>
          <w:rFonts w:ascii="Arial" w:hAnsi="Arial" w:cs="Arial"/>
          <w:sz w:val="20"/>
          <w:szCs w:val="20"/>
        </w:rPr>
        <w:t xml:space="preserve">es coûts pour l’industrie. </w:t>
      </w:r>
      <w:r w:rsidR="00DB7644">
        <w:rPr>
          <w:rFonts w:ascii="Arial" w:hAnsi="Arial" w:cs="Arial"/>
          <w:sz w:val="20"/>
          <w:szCs w:val="20"/>
        </w:rPr>
        <w:t>« </w:t>
      </w:r>
      <w:r w:rsidR="00DB7644" w:rsidRPr="00DB7644">
        <w:rPr>
          <w:rFonts w:ascii="Arial" w:hAnsi="Arial" w:cs="Arial"/>
          <w:i/>
          <w:sz w:val="20"/>
          <w:szCs w:val="20"/>
        </w:rPr>
        <w:t xml:space="preserve">Alors qu’il est </w:t>
      </w:r>
      <w:r w:rsidR="002F5FF9">
        <w:rPr>
          <w:rFonts w:ascii="Arial" w:hAnsi="Arial" w:cs="Arial"/>
          <w:i/>
          <w:sz w:val="20"/>
          <w:szCs w:val="20"/>
        </w:rPr>
        <w:t xml:space="preserve">plus </w:t>
      </w:r>
      <w:r w:rsidR="00DB7644" w:rsidRPr="00DB7644">
        <w:rPr>
          <w:rFonts w:ascii="Arial" w:hAnsi="Arial" w:cs="Arial"/>
          <w:i/>
          <w:sz w:val="20"/>
          <w:szCs w:val="20"/>
        </w:rPr>
        <w:t>facile d’identifier les coûts industriels à court terme, les bénéfices à long terme pour la santé et l’environnement d’une réglementation sont souvent impossibles à quantifier, et en conséquence ignorés, ce qui entraîne un déséquilibre en faveur des intérêts à court terme de l’industrie</w:t>
      </w:r>
      <w:r w:rsidR="00EC1C2F">
        <w:rPr>
          <w:rFonts w:ascii="Arial" w:hAnsi="Arial" w:cs="Arial"/>
          <w:sz w:val="20"/>
          <w:szCs w:val="20"/>
        </w:rPr>
        <w:t xml:space="preserve">. </w:t>
      </w:r>
      <w:r w:rsidR="00DB7644">
        <w:rPr>
          <w:rFonts w:ascii="Arial" w:hAnsi="Arial" w:cs="Arial"/>
          <w:sz w:val="20"/>
          <w:szCs w:val="20"/>
        </w:rPr>
        <w:t>»</w:t>
      </w:r>
      <w:r w:rsidR="001552FF">
        <w:rPr>
          <w:rFonts w:ascii="Arial" w:hAnsi="Arial" w:cs="Arial"/>
          <w:sz w:val="20"/>
          <w:szCs w:val="20"/>
        </w:rPr>
        <w:t xml:space="preserve">, précise André </w:t>
      </w:r>
      <w:proofErr w:type="spellStart"/>
      <w:r w:rsidR="001552FF">
        <w:rPr>
          <w:rFonts w:ascii="Arial" w:hAnsi="Arial" w:cs="Arial"/>
          <w:sz w:val="20"/>
          <w:szCs w:val="20"/>
        </w:rPr>
        <w:t>Cicolella</w:t>
      </w:r>
      <w:proofErr w:type="spellEnd"/>
      <w:r w:rsidR="001552FF">
        <w:rPr>
          <w:rFonts w:ascii="Arial" w:hAnsi="Arial" w:cs="Arial"/>
          <w:sz w:val="20"/>
          <w:szCs w:val="20"/>
        </w:rPr>
        <w:t>, président du Réseau Environnement Santé</w:t>
      </w:r>
      <w:r w:rsidR="00EC1C2F">
        <w:rPr>
          <w:rFonts w:ascii="Arial" w:hAnsi="Arial" w:cs="Arial"/>
          <w:sz w:val="20"/>
          <w:szCs w:val="20"/>
        </w:rPr>
        <w:t xml:space="preserve">. </w:t>
      </w:r>
      <w:r w:rsidR="00DB7644">
        <w:rPr>
          <w:rFonts w:ascii="Arial" w:hAnsi="Arial" w:cs="Arial"/>
          <w:sz w:val="20"/>
          <w:szCs w:val="20"/>
        </w:rPr>
        <w:t xml:space="preserve"> </w:t>
      </w:r>
      <w:r w:rsidR="00EC1C2F" w:rsidRPr="00EC1C2F">
        <w:rPr>
          <w:rFonts w:ascii="Arial" w:hAnsi="Arial" w:cs="Arial"/>
          <w:sz w:val="20"/>
          <w:szCs w:val="20"/>
        </w:rPr>
        <w:t xml:space="preserve">Les </w:t>
      </w:r>
      <w:r w:rsidR="00EC1C2F">
        <w:rPr>
          <w:rFonts w:ascii="Arial" w:hAnsi="Arial" w:cs="Arial"/>
          <w:sz w:val="20"/>
          <w:szCs w:val="20"/>
        </w:rPr>
        <w:t xml:space="preserve">dépenses de santé associées </w:t>
      </w:r>
      <w:r w:rsidR="00EC1C2F" w:rsidRPr="00EC1C2F">
        <w:rPr>
          <w:rFonts w:ascii="Arial" w:hAnsi="Arial" w:cs="Arial"/>
          <w:sz w:val="20"/>
          <w:szCs w:val="20"/>
        </w:rPr>
        <w:t>à l’exposition aux perturbateurs endocriniens en Europe son</w:t>
      </w:r>
      <w:r w:rsidR="00EC1C2F">
        <w:rPr>
          <w:rFonts w:ascii="Arial" w:hAnsi="Arial" w:cs="Arial"/>
          <w:sz w:val="20"/>
          <w:szCs w:val="20"/>
        </w:rPr>
        <w:t>t en effet</w:t>
      </w:r>
      <w:r w:rsidR="00EC1C2F" w:rsidRPr="00EC1C2F">
        <w:rPr>
          <w:rFonts w:ascii="Arial" w:hAnsi="Arial" w:cs="Arial"/>
          <w:sz w:val="20"/>
          <w:szCs w:val="20"/>
        </w:rPr>
        <w:t xml:space="preserve"> probablement </w:t>
      </w:r>
      <w:r w:rsidR="00EC1C2F">
        <w:rPr>
          <w:rFonts w:ascii="Arial" w:hAnsi="Arial" w:cs="Arial"/>
          <w:sz w:val="20"/>
          <w:szCs w:val="20"/>
        </w:rPr>
        <w:t xml:space="preserve">très importantes, avec une estimation initiale réalisée par la </w:t>
      </w:r>
      <w:proofErr w:type="spellStart"/>
      <w:r w:rsidR="00EC1C2F" w:rsidRPr="00EC1C2F">
        <w:rPr>
          <w:rFonts w:ascii="Arial" w:hAnsi="Arial" w:cs="Arial"/>
          <w:i/>
          <w:sz w:val="20"/>
          <w:szCs w:val="20"/>
        </w:rPr>
        <w:t>Health</w:t>
      </w:r>
      <w:proofErr w:type="spellEnd"/>
      <w:r w:rsidR="00EC1C2F" w:rsidRPr="00EC1C2F">
        <w:rPr>
          <w:rFonts w:ascii="Arial" w:hAnsi="Arial" w:cs="Arial"/>
          <w:i/>
          <w:sz w:val="20"/>
          <w:szCs w:val="20"/>
        </w:rPr>
        <w:t xml:space="preserve"> and </w:t>
      </w:r>
      <w:proofErr w:type="spellStart"/>
      <w:r w:rsidR="00EC1C2F" w:rsidRPr="00EC1C2F">
        <w:rPr>
          <w:rFonts w:ascii="Arial" w:hAnsi="Arial" w:cs="Arial"/>
          <w:i/>
          <w:sz w:val="20"/>
          <w:szCs w:val="20"/>
        </w:rPr>
        <w:t>Environment</w:t>
      </w:r>
      <w:proofErr w:type="spellEnd"/>
      <w:r w:rsidR="00EC1C2F" w:rsidRPr="00EC1C2F">
        <w:rPr>
          <w:rFonts w:ascii="Arial" w:hAnsi="Arial" w:cs="Arial"/>
          <w:i/>
          <w:sz w:val="20"/>
          <w:szCs w:val="20"/>
        </w:rPr>
        <w:t xml:space="preserve"> Alliance</w:t>
      </w:r>
      <w:r w:rsidR="00EC1C2F">
        <w:rPr>
          <w:rFonts w:ascii="Arial" w:hAnsi="Arial" w:cs="Arial"/>
          <w:sz w:val="20"/>
          <w:szCs w:val="20"/>
        </w:rPr>
        <w:t xml:space="preserve"> (HEAL) de près de 31 milliards d’euros annuels. </w:t>
      </w:r>
      <w:r w:rsidR="00D2371C">
        <w:rPr>
          <w:rFonts w:ascii="Arial" w:hAnsi="Arial" w:cs="Arial"/>
          <w:sz w:val="20"/>
          <w:szCs w:val="20"/>
        </w:rPr>
        <w:t xml:space="preserve">Plus récemment, le </w:t>
      </w:r>
      <w:proofErr w:type="spellStart"/>
      <w:r w:rsidR="00D2371C" w:rsidRPr="00D2371C">
        <w:rPr>
          <w:rFonts w:ascii="Arial" w:hAnsi="Arial" w:cs="Arial"/>
          <w:i/>
          <w:sz w:val="20"/>
          <w:szCs w:val="20"/>
        </w:rPr>
        <w:t>Nordic</w:t>
      </w:r>
      <w:proofErr w:type="spellEnd"/>
      <w:r w:rsidR="00D2371C" w:rsidRPr="00D2371C">
        <w:rPr>
          <w:rFonts w:ascii="Arial" w:hAnsi="Arial" w:cs="Arial"/>
          <w:i/>
          <w:sz w:val="20"/>
          <w:szCs w:val="20"/>
        </w:rPr>
        <w:t xml:space="preserve"> Council </w:t>
      </w:r>
      <w:r w:rsidR="00D2371C">
        <w:rPr>
          <w:rFonts w:ascii="Arial" w:hAnsi="Arial" w:cs="Arial"/>
          <w:sz w:val="20"/>
          <w:szCs w:val="20"/>
        </w:rPr>
        <w:t xml:space="preserve"> a publié un rapport similaire sur les seuls troubles de la reproduction masculins, qui fait état de 1200 millions d’euros de coûts chaque an</w:t>
      </w:r>
      <w:r w:rsidR="00964594">
        <w:rPr>
          <w:rFonts w:ascii="Arial" w:hAnsi="Arial" w:cs="Arial"/>
          <w:sz w:val="20"/>
          <w:szCs w:val="20"/>
        </w:rPr>
        <w:t>née</w:t>
      </w:r>
      <w:r w:rsidR="00B413B4" w:rsidRPr="00D2371C">
        <w:rPr>
          <w:rFonts w:ascii="Arial" w:hAnsi="Arial" w:cs="Arial"/>
          <w:sz w:val="20"/>
          <w:szCs w:val="20"/>
        </w:rPr>
        <w:t xml:space="preserve"> </w:t>
      </w:r>
      <w:r w:rsidR="00B40AC5">
        <w:rPr>
          <w:rFonts w:ascii="Arial" w:hAnsi="Arial" w:cs="Arial"/>
          <w:b/>
          <w:color w:val="002060"/>
          <w:sz w:val="20"/>
          <w:szCs w:val="20"/>
        </w:rPr>
        <w:t>(5</w:t>
      </w:r>
      <w:r w:rsidR="006C556A" w:rsidRPr="00964594">
        <w:rPr>
          <w:rFonts w:ascii="Arial" w:hAnsi="Arial" w:cs="Arial"/>
          <w:b/>
          <w:color w:val="002060"/>
          <w:sz w:val="20"/>
          <w:szCs w:val="20"/>
        </w:rPr>
        <w:t>)</w:t>
      </w:r>
      <w:r w:rsidR="00964594" w:rsidRPr="00964594">
        <w:rPr>
          <w:rFonts w:ascii="Arial" w:hAnsi="Arial" w:cs="Arial"/>
          <w:color w:val="002060"/>
          <w:sz w:val="20"/>
          <w:szCs w:val="20"/>
        </w:rPr>
        <w:t>.</w:t>
      </w:r>
      <w:r w:rsidR="006C556A" w:rsidRPr="00964594">
        <w:rPr>
          <w:rFonts w:ascii="Arial" w:hAnsi="Arial" w:cs="Arial"/>
          <w:color w:val="002060"/>
          <w:sz w:val="20"/>
          <w:szCs w:val="20"/>
        </w:rPr>
        <w:t xml:space="preserve"> </w:t>
      </w:r>
      <w:bookmarkStart w:id="0" w:name="_GoBack"/>
      <w:bookmarkEnd w:id="0"/>
      <w:r w:rsidR="00A67671" w:rsidRPr="00A67671">
        <w:rPr>
          <w:rFonts w:ascii="Arial" w:hAnsi="Arial" w:cs="Arial"/>
          <w:sz w:val="20"/>
          <w:szCs w:val="20"/>
        </w:rPr>
        <w:t xml:space="preserve">La plateforme en ligne aide à </w:t>
      </w:r>
      <w:r w:rsidR="00A67671">
        <w:rPr>
          <w:rFonts w:ascii="Arial" w:hAnsi="Arial" w:cs="Arial"/>
          <w:sz w:val="20"/>
          <w:szCs w:val="20"/>
        </w:rPr>
        <w:t xml:space="preserve">porter la voix des citoyens qui veulent envoyer un message fort à la Commission européenne en demandant le retrait du marché des perturbateurs endocriniens. </w:t>
      </w:r>
      <w:r w:rsidR="00964594">
        <w:rPr>
          <w:rFonts w:ascii="Arial" w:hAnsi="Arial" w:cs="Arial"/>
          <w:sz w:val="20"/>
          <w:szCs w:val="20"/>
        </w:rPr>
        <w:t xml:space="preserve">Comme l’explique </w:t>
      </w:r>
      <w:r w:rsidR="00104E6E">
        <w:rPr>
          <w:rFonts w:ascii="Arial" w:hAnsi="Arial" w:cs="Arial"/>
          <w:sz w:val="20"/>
          <w:szCs w:val="20"/>
        </w:rPr>
        <w:t xml:space="preserve">Genon K. Jensen, membre </w:t>
      </w:r>
      <w:r w:rsidR="00AF1DC8">
        <w:rPr>
          <w:rFonts w:ascii="Arial" w:hAnsi="Arial" w:cs="Arial"/>
          <w:sz w:val="20"/>
          <w:szCs w:val="20"/>
        </w:rPr>
        <w:t xml:space="preserve">du secrétariat de la coalition </w:t>
      </w:r>
      <w:r w:rsidR="00E73AF6">
        <w:rPr>
          <w:rFonts w:ascii="Arial" w:hAnsi="Arial" w:cs="Arial"/>
          <w:sz w:val="20"/>
          <w:szCs w:val="20"/>
        </w:rPr>
        <w:t>EDC-</w:t>
      </w:r>
      <w:r w:rsidR="00104E6E">
        <w:rPr>
          <w:rFonts w:ascii="Arial" w:hAnsi="Arial" w:cs="Arial"/>
          <w:sz w:val="20"/>
          <w:szCs w:val="20"/>
        </w:rPr>
        <w:t>Free Europe</w:t>
      </w:r>
      <w:r w:rsidR="00AF1DC8">
        <w:rPr>
          <w:rFonts w:ascii="Arial" w:hAnsi="Arial" w:cs="Arial"/>
          <w:sz w:val="20"/>
          <w:szCs w:val="20"/>
        </w:rPr>
        <w:t xml:space="preserve"> </w:t>
      </w:r>
      <w:r w:rsidR="00104E6E">
        <w:rPr>
          <w:rFonts w:ascii="Arial" w:hAnsi="Arial" w:cs="Arial"/>
          <w:sz w:val="20"/>
          <w:szCs w:val="20"/>
        </w:rPr>
        <w:t xml:space="preserve">: </w:t>
      </w:r>
      <w:r w:rsidR="009C77E9" w:rsidRPr="00A67671">
        <w:rPr>
          <w:rFonts w:ascii="Arial" w:hAnsi="Arial" w:cs="Arial"/>
          <w:i/>
          <w:sz w:val="20"/>
          <w:szCs w:val="20"/>
        </w:rPr>
        <w:t>“</w:t>
      </w:r>
      <w:r w:rsidR="00A67671" w:rsidRPr="00A67671">
        <w:rPr>
          <w:rFonts w:ascii="Arial" w:hAnsi="Arial" w:cs="Arial"/>
          <w:i/>
          <w:sz w:val="20"/>
          <w:szCs w:val="20"/>
        </w:rPr>
        <w:t xml:space="preserve">Il ne s’agit pas d’un quelconque problème technique </w:t>
      </w:r>
      <w:r w:rsidR="00104E6E">
        <w:rPr>
          <w:rFonts w:ascii="Arial" w:hAnsi="Arial" w:cs="Arial"/>
          <w:i/>
          <w:sz w:val="20"/>
          <w:szCs w:val="20"/>
        </w:rPr>
        <w:t>–</w:t>
      </w:r>
      <w:r w:rsidR="00A67671" w:rsidRPr="00A67671">
        <w:rPr>
          <w:rFonts w:ascii="Arial" w:hAnsi="Arial" w:cs="Arial"/>
          <w:i/>
          <w:sz w:val="20"/>
          <w:szCs w:val="20"/>
        </w:rPr>
        <w:t xml:space="preserve"> </w:t>
      </w:r>
      <w:r w:rsidR="00104E6E">
        <w:rPr>
          <w:rFonts w:ascii="Arial" w:hAnsi="Arial" w:cs="Arial"/>
          <w:i/>
          <w:sz w:val="20"/>
          <w:szCs w:val="20"/>
        </w:rPr>
        <w:t xml:space="preserve">mais plutôt du lieu où commence la protection de la </w:t>
      </w:r>
      <w:r w:rsidR="00104E6E">
        <w:rPr>
          <w:rFonts w:ascii="Arial" w:hAnsi="Arial" w:cs="Arial"/>
          <w:i/>
          <w:sz w:val="20"/>
          <w:szCs w:val="20"/>
        </w:rPr>
        <w:lastRenderedPageBreak/>
        <w:t>santé. Faire le mauvais choix dans les critères signifierait que la Commission européenne ne travaillerait ni dans le sens de l’intérêt public, ni dans celui de l’industrie. Identifier et retirer du marché les produits chimiques qui ont des propriétés de perturbation endocrinienne c’est stimuler l’innovation et la compétitivité à la fois dans l’industrie chimique européenne, le secteur agricole et au-delà.</w:t>
      </w:r>
      <w:r w:rsidR="009C0ABA" w:rsidRPr="00104E6E">
        <w:rPr>
          <w:rFonts w:ascii="Arial" w:hAnsi="Arial" w:cs="Arial"/>
          <w:i/>
          <w:sz w:val="20"/>
          <w:szCs w:val="20"/>
        </w:rPr>
        <w:t>”</w:t>
      </w:r>
    </w:p>
    <w:p w:rsidR="00175129" w:rsidRPr="00104E6E" w:rsidRDefault="00175129" w:rsidP="00E73AF6">
      <w:pPr>
        <w:spacing w:after="0" w:line="240" w:lineRule="auto"/>
        <w:jc w:val="both"/>
        <w:rPr>
          <w:rFonts w:ascii="Arial" w:hAnsi="Arial" w:cs="Arial"/>
          <w:i/>
          <w:sz w:val="20"/>
          <w:szCs w:val="20"/>
        </w:rPr>
      </w:pPr>
    </w:p>
    <w:p w:rsidR="00880520" w:rsidRPr="00085F81" w:rsidRDefault="00104E6E" w:rsidP="00E73AF6">
      <w:pPr>
        <w:spacing w:after="0" w:line="240" w:lineRule="auto"/>
        <w:rPr>
          <w:rFonts w:ascii="Arial" w:hAnsi="Arial" w:cs="Arial"/>
          <w:b/>
          <w:sz w:val="20"/>
          <w:szCs w:val="20"/>
        </w:rPr>
      </w:pPr>
      <w:r w:rsidRPr="00104E6E">
        <w:rPr>
          <w:rFonts w:ascii="Arial" w:hAnsi="Arial" w:cs="Arial"/>
          <w:b/>
          <w:sz w:val="20"/>
          <w:szCs w:val="20"/>
        </w:rPr>
        <w:t xml:space="preserve">Qu’est-ce qu’un impact sur la santé? </w:t>
      </w:r>
    </w:p>
    <w:p w:rsidR="008F3F33" w:rsidRDefault="003C2F40" w:rsidP="00E73AF6">
      <w:pPr>
        <w:spacing w:after="0" w:line="240" w:lineRule="auto"/>
        <w:jc w:val="both"/>
        <w:rPr>
          <w:rFonts w:ascii="Arial" w:hAnsi="Arial" w:cs="Arial"/>
          <w:sz w:val="20"/>
          <w:szCs w:val="20"/>
        </w:rPr>
      </w:pPr>
      <w:r w:rsidRPr="003C2F40">
        <w:rPr>
          <w:rFonts w:ascii="Arial" w:hAnsi="Arial" w:cs="Arial"/>
          <w:sz w:val="20"/>
          <w:szCs w:val="20"/>
        </w:rPr>
        <w:t>Il existe des</w:t>
      </w:r>
      <w:r w:rsidR="00104E6E" w:rsidRPr="00104E6E">
        <w:rPr>
          <w:rFonts w:ascii="Arial" w:hAnsi="Arial" w:cs="Arial"/>
          <w:sz w:val="20"/>
          <w:szCs w:val="20"/>
        </w:rPr>
        <w:t xml:space="preserve"> preuves scientifiques </w:t>
      </w:r>
      <w:r>
        <w:rPr>
          <w:rFonts w:ascii="Arial" w:hAnsi="Arial" w:cs="Arial"/>
          <w:sz w:val="20"/>
          <w:szCs w:val="20"/>
        </w:rPr>
        <w:t xml:space="preserve">sur les liens entre </w:t>
      </w:r>
      <w:r w:rsidR="00104E6E" w:rsidRPr="00104E6E">
        <w:rPr>
          <w:rFonts w:ascii="Arial" w:hAnsi="Arial" w:cs="Arial"/>
          <w:sz w:val="20"/>
          <w:szCs w:val="20"/>
        </w:rPr>
        <w:t xml:space="preserve">expositions aux PE et </w:t>
      </w:r>
      <w:r>
        <w:rPr>
          <w:rFonts w:ascii="Arial" w:hAnsi="Arial" w:cs="Arial"/>
          <w:sz w:val="20"/>
          <w:szCs w:val="20"/>
        </w:rPr>
        <w:t xml:space="preserve">progression alarmante des taux de cancers </w:t>
      </w:r>
      <w:proofErr w:type="spellStart"/>
      <w:r>
        <w:rPr>
          <w:rFonts w:ascii="Arial" w:hAnsi="Arial" w:cs="Arial"/>
          <w:sz w:val="20"/>
          <w:szCs w:val="20"/>
        </w:rPr>
        <w:t>hormono</w:t>
      </w:r>
      <w:proofErr w:type="spellEnd"/>
      <w:r>
        <w:rPr>
          <w:rFonts w:ascii="Arial" w:hAnsi="Arial" w:cs="Arial"/>
          <w:sz w:val="20"/>
          <w:szCs w:val="20"/>
        </w:rPr>
        <w:t xml:space="preserve">-dépendants - comme le cancer du sein ou des testicules – du diabète, de l’obésité, des troubles de la fertilité, de l’apprentissage ou du comportement chez les enfants. </w:t>
      </w:r>
      <w:r w:rsidR="005026F2">
        <w:rPr>
          <w:rFonts w:ascii="Arial" w:hAnsi="Arial" w:cs="Arial"/>
          <w:sz w:val="20"/>
          <w:szCs w:val="20"/>
        </w:rPr>
        <w:t>Pour l’Organis</w:t>
      </w:r>
      <w:r w:rsidR="00964594">
        <w:rPr>
          <w:rFonts w:ascii="Arial" w:hAnsi="Arial" w:cs="Arial"/>
          <w:sz w:val="20"/>
          <w:szCs w:val="20"/>
        </w:rPr>
        <w:t>ation Mondiale de la Santé</w:t>
      </w:r>
      <w:r w:rsidR="005026F2">
        <w:rPr>
          <w:rFonts w:ascii="Arial" w:hAnsi="Arial" w:cs="Arial"/>
          <w:sz w:val="20"/>
          <w:szCs w:val="20"/>
        </w:rPr>
        <w:t>, les perturbateurs endocriniens sont une «menace globale»</w:t>
      </w:r>
      <w:r w:rsidR="00964594">
        <w:rPr>
          <w:rFonts w:ascii="Arial" w:hAnsi="Arial" w:cs="Arial"/>
          <w:sz w:val="20"/>
          <w:szCs w:val="20"/>
        </w:rPr>
        <w:t xml:space="preserve"> </w:t>
      </w:r>
      <w:r w:rsidR="00B40AC5">
        <w:rPr>
          <w:rFonts w:ascii="Arial" w:hAnsi="Arial" w:cs="Arial"/>
          <w:b/>
          <w:color w:val="002060"/>
          <w:sz w:val="20"/>
          <w:szCs w:val="20"/>
        </w:rPr>
        <w:t>(6</w:t>
      </w:r>
      <w:r w:rsidR="004E01AA" w:rsidRPr="00964594">
        <w:rPr>
          <w:rFonts w:ascii="Arial" w:hAnsi="Arial" w:cs="Arial"/>
          <w:b/>
          <w:color w:val="002060"/>
          <w:sz w:val="20"/>
          <w:szCs w:val="20"/>
        </w:rPr>
        <w:t>)</w:t>
      </w:r>
      <w:r w:rsidR="00964594" w:rsidRPr="00964594">
        <w:rPr>
          <w:rFonts w:ascii="Arial" w:hAnsi="Arial" w:cs="Arial"/>
          <w:color w:val="002060"/>
          <w:sz w:val="20"/>
          <w:szCs w:val="20"/>
        </w:rPr>
        <w:t>.</w:t>
      </w:r>
      <w:r w:rsidR="00B17759">
        <w:rPr>
          <w:rFonts w:ascii="Arial" w:hAnsi="Arial" w:cs="Arial"/>
          <w:color w:val="002060"/>
          <w:sz w:val="20"/>
          <w:szCs w:val="20"/>
        </w:rPr>
        <w:t xml:space="preserve"> </w:t>
      </w:r>
    </w:p>
    <w:p w:rsidR="00B17759" w:rsidRPr="00B17759" w:rsidRDefault="005026F2" w:rsidP="00B17759">
      <w:pPr>
        <w:spacing w:after="0" w:line="240" w:lineRule="auto"/>
        <w:jc w:val="both"/>
        <w:rPr>
          <w:rFonts w:ascii="Arial" w:hAnsi="Arial" w:cs="Arial"/>
          <w:sz w:val="20"/>
          <w:szCs w:val="20"/>
        </w:rPr>
      </w:pPr>
      <w:r w:rsidRPr="005026F2">
        <w:rPr>
          <w:rFonts w:ascii="Arial" w:hAnsi="Arial" w:cs="Arial"/>
          <w:sz w:val="20"/>
          <w:szCs w:val="20"/>
        </w:rPr>
        <w:t>L’homme et les écosystèmes sont exposés en continu à ces substances chimiques présentes dan</w:t>
      </w:r>
      <w:r>
        <w:rPr>
          <w:rFonts w:ascii="Arial" w:hAnsi="Arial" w:cs="Arial"/>
          <w:sz w:val="20"/>
          <w:szCs w:val="20"/>
        </w:rPr>
        <w:t>s</w:t>
      </w:r>
      <w:r w:rsidRPr="005026F2">
        <w:rPr>
          <w:rFonts w:ascii="Arial" w:hAnsi="Arial" w:cs="Arial"/>
          <w:sz w:val="20"/>
          <w:szCs w:val="20"/>
        </w:rPr>
        <w:t xml:space="preserve"> de nombreux produits d’usage quotidien comme les emballages alimentaires, les cosmétiques, les équipements électroniques et les</w:t>
      </w:r>
      <w:r>
        <w:rPr>
          <w:rFonts w:ascii="Arial" w:hAnsi="Arial" w:cs="Arial"/>
          <w:sz w:val="20"/>
          <w:szCs w:val="20"/>
        </w:rPr>
        <w:t xml:space="preserve"> produits biocides dont des</w:t>
      </w:r>
      <w:r w:rsidRPr="005026F2">
        <w:rPr>
          <w:rFonts w:ascii="Arial" w:hAnsi="Arial" w:cs="Arial"/>
          <w:sz w:val="20"/>
          <w:szCs w:val="20"/>
        </w:rPr>
        <w:t xml:space="preserve"> désinfectants. </w:t>
      </w:r>
      <w:r>
        <w:rPr>
          <w:rFonts w:ascii="Arial" w:hAnsi="Arial" w:cs="Arial"/>
          <w:sz w:val="20"/>
          <w:szCs w:val="20"/>
        </w:rPr>
        <w:t>Les PE présents dans les pesticides utilisés sur des terres agricoles finissent eux dans notre assiette</w:t>
      </w:r>
      <w:r w:rsidR="00964594">
        <w:rPr>
          <w:rFonts w:ascii="Arial" w:hAnsi="Arial" w:cs="Arial"/>
          <w:sz w:val="20"/>
          <w:szCs w:val="20"/>
        </w:rPr>
        <w:t xml:space="preserve"> </w:t>
      </w:r>
      <w:r w:rsidR="00077058" w:rsidRPr="00964594">
        <w:rPr>
          <w:rFonts w:ascii="Arial" w:hAnsi="Arial" w:cs="Arial"/>
          <w:b/>
          <w:color w:val="002060"/>
          <w:sz w:val="20"/>
          <w:szCs w:val="20"/>
        </w:rPr>
        <w:t>(</w:t>
      </w:r>
      <w:r w:rsidR="00B40AC5">
        <w:rPr>
          <w:rFonts w:ascii="Arial" w:hAnsi="Arial" w:cs="Arial"/>
          <w:b/>
          <w:color w:val="002060"/>
          <w:sz w:val="20"/>
          <w:szCs w:val="20"/>
        </w:rPr>
        <w:t>7</w:t>
      </w:r>
      <w:r w:rsidR="00077058" w:rsidRPr="00964594">
        <w:rPr>
          <w:rFonts w:ascii="Arial" w:hAnsi="Arial" w:cs="Arial"/>
          <w:b/>
          <w:color w:val="002060"/>
          <w:sz w:val="20"/>
          <w:szCs w:val="20"/>
        </w:rPr>
        <w:t>)</w:t>
      </w:r>
      <w:r w:rsidR="00964594" w:rsidRPr="00964594">
        <w:rPr>
          <w:rFonts w:ascii="Arial" w:hAnsi="Arial" w:cs="Arial"/>
          <w:color w:val="002060"/>
          <w:sz w:val="20"/>
          <w:szCs w:val="20"/>
        </w:rPr>
        <w:t>.</w:t>
      </w:r>
      <w:r w:rsidR="00964594">
        <w:rPr>
          <w:rFonts w:ascii="Arial" w:hAnsi="Arial" w:cs="Arial"/>
          <w:b/>
          <w:color w:val="002060"/>
          <w:sz w:val="20"/>
          <w:szCs w:val="20"/>
        </w:rPr>
        <w:t xml:space="preserve"> </w:t>
      </w:r>
      <w:r w:rsidR="00964594">
        <w:rPr>
          <w:rFonts w:ascii="Arial" w:hAnsi="Arial" w:cs="Arial"/>
          <w:sz w:val="20"/>
          <w:szCs w:val="20"/>
        </w:rPr>
        <w:t>Selon</w:t>
      </w:r>
      <w:r w:rsidR="00964594" w:rsidRPr="00964594">
        <w:rPr>
          <w:rFonts w:ascii="Arial" w:hAnsi="Arial" w:cs="Arial"/>
          <w:sz w:val="20"/>
          <w:szCs w:val="20"/>
        </w:rPr>
        <w:t xml:space="preserve"> </w:t>
      </w:r>
      <w:r w:rsidR="00964594">
        <w:rPr>
          <w:rFonts w:ascii="Arial" w:hAnsi="Arial" w:cs="Arial"/>
          <w:sz w:val="20"/>
          <w:szCs w:val="20"/>
        </w:rPr>
        <w:t xml:space="preserve">François Veillerette, porte-parole de Générations Futures: </w:t>
      </w:r>
      <w:r w:rsidR="00964594">
        <w:rPr>
          <w:rFonts w:ascii="Arial" w:hAnsi="Arial" w:cs="Arial"/>
          <w:i/>
          <w:sz w:val="20"/>
          <w:szCs w:val="20"/>
        </w:rPr>
        <w:t>«</w:t>
      </w:r>
      <w:r w:rsidR="00071CC2" w:rsidRPr="00071CC2">
        <w:rPr>
          <w:rFonts w:ascii="Arial" w:hAnsi="Arial" w:cs="Arial"/>
          <w:i/>
          <w:sz w:val="20"/>
          <w:szCs w:val="20"/>
        </w:rPr>
        <w:t xml:space="preserve">L’enjeu est majeur, parce que l’Union européenne </w:t>
      </w:r>
      <w:r w:rsidR="00071CC2">
        <w:rPr>
          <w:rFonts w:ascii="Arial" w:hAnsi="Arial" w:cs="Arial"/>
          <w:i/>
          <w:sz w:val="20"/>
          <w:szCs w:val="20"/>
        </w:rPr>
        <w:t xml:space="preserve">(UE) </w:t>
      </w:r>
      <w:r w:rsidR="00071CC2" w:rsidRPr="00071CC2">
        <w:rPr>
          <w:rFonts w:ascii="Arial" w:hAnsi="Arial" w:cs="Arial"/>
          <w:i/>
          <w:sz w:val="20"/>
          <w:szCs w:val="20"/>
        </w:rPr>
        <w:t>sera le premier groupe d’Etats dans le monde à établir des critères officiels pour identifier des perturbateurs endocri</w:t>
      </w:r>
      <w:r w:rsidR="00071CC2">
        <w:rPr>
          <w:rFonts w:ascii="Arial" w:hAnsi="Arial" w:cs="Arial"/>
          <w:i/>
          <w:sz w:val="20"/>
          <w:szCs w:val="20"/>
        </w:rPr>
        <w:t>niens. Il existe déjà dans L’UE des réglementations pour interdire l’usage des pesticides et biocides PE lorsqu’ils seront identifiés»</w:t>
      </w:r>
      <w:r w:rsidR="00964594">
        <w:rPr>
          <w:rFonts w:ascii="Arial" w:hAnsi="Arial" w:cs="Arial"/>
          <w:sz w:val="20"/>
          <w:szCs w:val="20"/>
        </w:rPr>
        <w:t xml:space="preserve">. </w:t>
      </w:r>
      <w:r w:rsidR="00B17759">
        <w:rPr>
          <w:rFonts w:ascii="Arial" w:hAnsi="Arial" w:cs="Arial"/>
          <w:sz w:val="20"/>
          <w:szCs w:val="20"/>
        </w:rPr>
        <w:t xml:space="preserve"> </w:t>
      </w:r>
    </w:p>
    <w:p w:rsidR="00964594" w:rsidRDefault="00964594" w:rsidP="00E73AF6">
      <w:pPr>
        <w:spacing w:after="0" w:line="240" w:lineRule="auto"/>
        <w:rPr>
          <w:rFonts w:ascii="Arial" w:hAnsi="Arial" w:cs="Arial"/>
          <w:b/>
          <w:sz w:val="20"/>
          <w:szCs w:val="20"/>
        </w:rPr>
      </w:pPr>
    </w:p>
    <w:p w:rsidR="002344EB" w:rsidRDefault="00AF1DC8" w:rsidP="00E73AF6">
      <w:pPr>
        <w:spacing w:after="0" w:line="240" w:lineRule="auto"/>
        <w:rPr>
          <w:rFonts w:ascii="Arial" w:hAnsi="Arial" w:cs="Arial"/>
          <w:b/>
          <w:sz w:val="20"/>
          <w:szCs w:val="20"/>
        </w:rPr>
      </w:pPr>
      <w:r w:rsidRPr="00AF1DC8">
        <w:rPr>
          <w:rFonts w:ascii="Arial" w:hAnsi="Arial" w:cs="Arial"/>
          <w:b/>
          <w:sz w:val="20"/>
          <w:szCs w:val="20"/>
        </w:rPr>
        <w:t xml:space="preserve">La campagne </w:t>
      </w:r>
    </w:p>
    <w:p w:rsidR="00B17759" w:rsidRPr="00B17759" w:rsidRDefault="00AF1DC8" w:rsidP="00B17759">
      <w:pPr>
        <w:spacing w:after="0" w:line="240" w:lineRule="auto"/>
        <w:jc w:val="both"/>
        <w:rPr>
          <w:rFonts w:ascii="Arial" w:hAnsi="Arial" w:cs="Arial"/>
          <w:sz w:val="20"/>
          <w:szCs w:val="20"/>
        </w:rPr>
      </w:pPr>
      <w:r w:rsidRPr="00AF1DC8">
        <w:rPr>
          <w:rFonts w:ascii="Arial" w:hAnsi="Arial" w:cs="Arial"/>
          <w:sz w:val="20"/>
          <w:szCs w:val="20"/>
        </w:rPr>
        <w:t xml:space="preserve">La coalition </w:t>
      </w:r>
      <w:r w:rsidRPr="00E73AF6">
        <w:rPr>
          <w:rFonts w:ascii="Arial" w:hAnsi="Arial" w:cs="Arial"/>
          <w:i/>
          <w:sz w:val="20"/>
          <w:szCs w:val="20"/>
        </w:rPr>
        <w:t>EDC-Free Europe</w:t>
      </w:r>
      <w:r w:rsidRPr="00AF1DC8">
        <w:rPr>
          <w:rFonts w:ascii="Arial" w:hAnsi="Arial" w:cs="Arial"/>
          <w:sz w:val="20"/>
          <w:szCs w:val="20"/>
        </w:rPr>
        <w:t xml:space="preserve"> agit pour obtenir une interd</w:t>
      </w:r>
      <w:r>
        <w:rPr>
          <w:rFonts w:ascii="Arial" w:hAnsi="Arial" w:cs="Arial"/>
          <w:sz w:val="20"/>
          <w:szCs w:val="20"/>
        </w:rPr>
        <w:t xml:space="preserve">iction des PE dans l’Union européenne. Elle fournit des informations indépendantes </w:t>
      </w:r>
      <w:r w:rsidR="00D81A03">
        <w:rPr>
          <w:rFonts w:ascii="Arial" w:hAnsi="Arial" w:cs="Arial"/>
          <w:sz w:val="20"/>
          <w:szCs w:val="20"/>
        </w:rPr>
        <w:t xml:space="preserve">aux citoyens et aux pouvoirs publics </w:t>
      </w:r>
      <w:r>
        <w:rPr>
          <w:rFonts w:ascii="Arial" w:hAnsi="Arial" w:cs="Arial"/>
          <w:sz w:val="20"/>
          <w:szCs w:val="20"/>
        </w:rPr>
        <w:t>sur l’exposition au</w:t>
      </w:r>
      <w:r w:rsidR="00D81A03">
        <w:rPr>
          <w:rFonts w:ascii="Arial" w:hAnsi="Arial" w:cs="Arial"/>
          <w:sz w:val="20"/>
          <w:szCs w:val="20"/>
        </w:rPr>
        <w:t xml:space="preserve">x PE et accompagne le grand public pour faire en sorte que ces produits chimiques sont identifiés et retirés du marché. </w:t>
      </w:r>
      <w:r w:rsidR="00964594">
        <w:rPr>
          <w:rFonts w:ascii="Arial" w:hAnsi="Arial" w:cs="Arial"/>
          <w:sz w:val="20"/>
          <w:szCs w:val="20"/>
        </w:rPr>
        <w:t xml:space="preserve"> </w:t>
      </w:r>
      <w:r w:rsidR="00D81A03">
        <w:rPr>
          <w:rFonts w:ascii="Arial" w:hAnsi="Arial" w:cs="Arial"/>
          <w:sz w:val="20"/>
          <w:szCs w:val="20"/>
        </w:rPr>
        <w:t>Pour les membres de la Coalition</w:t>
      </w:r>
      <w:r w:rsidR="00E73AF6">
        <w:rPr>
          <w:rFonts w:ascii="Arial" w:hAnsi="Arial" w:cs="Arial"/>
          <w:sz w:val="20"/>
          <w:szCs w:val="20"/>
        </w:rPr>
        <w:t xml:space="preserve"> </w:t>
      </w:r>
      <w:r w:rsidR="00E73AF6" w:rsidRPr="00E73AF6">
        <w:rPr>
          <w:rFonts w:ascii="Arial" w:hAnsi="Arial" w:cs="Arial"/>
          <w:i/>
          <w:sz w:val="20"/>
          <w:szCs w:val="20"/>
        </w:rPr>
        <w:t>EDC-Free Europe</w:t>
      </w:r>
      <w:r w:rsidR="00E73AF6">
        <w:rPr>
          <w:rFonts w:ascii="Arial" w:hAnsi="Arial" w:cs="Arial"/>
          <w:sz w:val="20"/>
          <w:szCs w:val="20"/>
        </w:rPr>
        <w:t>,</w:t>
      </w:r>
      <w:r w:rsidR="00D81A03">
        <w:rPr>
          <w:rFonts w:ascii="Arial" w:hAnsi="Arial" w:cs="Arial"/>
          <w:sz w:val="20"/>
          <w:szCs w:val="20"/>
        </w:rPr>
        <w:t xml:space="preserve"> </w:t>
      </w:r>
      <w:r w:rsidR="00E73AF6">
        <w:rPr>
          <w:rFonts w:ascii="Arial" w:hAnsi="Arial" w:cs="Arial"/>
          <w:sz w:val="20"/>
          <w:szCs w:val="20"/>
        </w:rPr>
        <w:t>la participation d’un maximum de</w:t>
      </w:r>
      <w:r w:rsidR="00D81A03">
        <w:rPr>
          <w:rFonts w:ascii="Arial" w:hAnsi="Arial" w:cs="Arial"/>
          <w:sz w:val="20"/>
          <w:szCs w:val="20"/>
        </w:rPr>
        <w:t xml:space="preserve"> </w:t>
      </w:r>
      <w:r w:rsidR="00E73AF6">
        <w:rPr>
          <w:rFonts w:ascii="Arial" w:hAnsi="Arial" w:cs="Arial"/>
          <w:sz w:val="20"/>
          <w:szCs w:val="20"/>
        </w:rPr>
        <w:t xml:space="preserve">citoyens inquiets sur ce sujet à la consultation publique est une étape importante pour assurer la transition vers une Europe sans PE dans un processus transparent qui place la santé au cœur du débat. </w:t>
      </w:r>
      <w:r w:rsidR="00B17759" w:rsidRPr="00B17759">
        <w:rPr>
          <w:rFonts w:ascii="Arial" w:hAnsi="Arial" w:cs="Arial"/>
          <w:sz w:val="20"/>
          <w:szCs w:val="20"/>
        </w:rPr>
        <w:t>"</w:t>
      </w:r>
      <w:r w:rsidR="00B17759" w:rsidRPr="00B17759">
        <w:rPr>
          <w:rFonts w:ascii="Arial" w:hAnsi="Arial" w:cs="Arial"/>
          <w:i/>
          <w:sz w:val="20"/>
          <w:szCs w:val="20"/>
        </w:rPr>
        <w:t xml:space="preserve">A l’heure où les enfants vont se contaminer aux </w:t>
      </w:r>
      <w:proofErr w:type="spellStart"/>
      <w:r w:rsidR="00B17759" w:rsidRPr="00B17759">
        <w:rPr>
          <w:rFonts w:ascii="Arial" w:hAnsi="Arial" w:cs="Arial"/>
          <w:i/>
          <w:sz w:val="20"/>
          <w:szCs w:val="20"/>
        </w:rPr>
        <w:t>phtalates</w:t>
      </w:r>
      <w:proofErr w:type="spellEnd"/>
      <w:r w:rsidR="00B17759" w:rsidRPr="00B17759">
        <w:rPr>
          <w:rFonts w:ascii="Arial" w:hAnsi="Arial" w:cs="Arial"/>
          <w:i/>
          <w:sz w:val="20"/>
          <w:szCs w:val="20"/>
        </w:rPr>
        <w:t xml:space="preserve"> et au BPA en s’amusant avec leurs jouets de Noël en plastique, les professionnels de la santé comme les citoyens doivent se mobiliser pour poser les jalons d’une hygiène chimique quasiment à invent</w:t>
      </w:r>
      <w:r w:rsidR="00B17759">
        <w:rPr>
          <w:rFonts w:ascii="Arial" w:hAnsi="Arial" w:cs="Arial"/>
          <w:i/>
          <w:sz w:val="20"/>
          <w:szCs w:val="20"/>
        </w:rPr>
        <w:t>er</w:t>
      </w:r>
      <w:r w:rsidR="00B17759">
        <w:rPr>
          <w:rFonts w:ascii="Arial" w:hAnsi="Arial" w:cs="Arial"/>
          <w:sz w:val="20"/>
          <w:szCs w:val="20"/>
        </w:rPr>
        <w:t xml:space="preserve">", conclut Joël </w:t>
      </w:r>
      <w:proofErr w:type="spellStart"/>
      <w:r w:rsidR="00B17759">
        <w:rPr>
          <w:rFonts w:ascii="Arial" w:hAnsi="Arial" w:cs="Arial"/>
          <w:sz w:val="20"/>
          <w:szCs w:val="20"/>
        </w:rPr>
        <w:t>Spiroux</w:t>
      </w:r>
      <w:proofErr w:type="spellEnd"/>
      <w:r w:rsidR="00B17759">
        <w:rPr>
          <w:rFonts w:ascii="Arial" w:hAnsi="Arial" w:cs="Arial"/>
          <w:sz w:val="20"/>
          <w:szCs w:val="20"/>
        </w:rPr>
        <w:t xml:space="preserve"> de Vendômois, méde</w:t>
      </w:r>
      <w:r w:rsidR="00B17759" w:rsidRPr="00B17759">
        <w:rPr>
          <w:rFonts w:ascii="Arial" w:hAnsi="Arial" w:cs="Arial"/>
          <w:sz w:val="20"/>
          <w:szCs w:val="20"/>
        </w:rPr>
        <w:t>cin généraliste et président du CRIIGEN.</w:t>
      </w:r>
    </w:p>
    <w:p w:rsidR="00175129" w:rsidRPr="00E73AF6" w:rsidRDefault="00175129" w:rsidP="00E73AF6">
      <w:pPr>
        <w:spacing w:after="0" w:line="240" w:lineRule="auto"/>
        <w:jc w:val="both"/>
        <w:rPr>
          <w:rStyle w:val="lev"/>
          <w:rFonts w:ascii="Arial" w:hAnsi="Arial" w:cs="Arial"/>
          <w:b w:val="0"/>
          <w:bCs w:val="0"/>
          <w:sz w:val="20"/>
          <w:szCs w:val="20"/>
        </w:rPr>
      </w:pPr>
    </w:p>
    <w:p w:rsidR="00085F81" w:rsidRDefault="00C02814" w:rsidP="00E73AF6">
      <w:pPr>
        <w:spacing w:after="0" w:line="240" w:lineRule="auto"/>
        <w:rPr>
          <w:rFonts w:ascii="Arial" w:hAnsi="Arial" w:cs="Arial"/>
          <w:color w:val="000000"/>
          <w:sz w:val="20"/>
          <w:szCs w:val="20"/>
        </w:rPr>
      </w:pPr>
      <w:r w:rsidRPr="00175129">
        <w:rPr>
          <w:rStyle w:val="lev"/>
          <w:rFonts w:ascii="Arial" w:hAnsi="Arial" w:cs="Arial"/>
          <w:color w:val="000000"/>
          <w:sz w:val="20"/>
          <w:szCs w:val="20"/>
        </w:rPr>
        <w:t>Contacts:</w:t>
      </w:r>
    </w:p>
    <w:p w:rsidR="005A53C8" w:rsidRPr="005A53C8" w:rsidRDefault="005A53C8" w:rsidP="005A53C8">
      <w:pPr>
        <w:spacing w:after="0" w:line="240" w:lineRule="auto"/>
        <w:rPr>
          <w:rFonts w:ascii="Arial" w:hAnsi="Arial" w:cs="Arial"/>
          <w:color w:val="000000"/>
          <w:sz w:val="20"/>
          <w:szCs w:val="20"/>
        </w:rPr>
      </w:pPr>
      <w:r w:rsidRPr="005A53C8">
        <w:rPr>
          <w:rFonts w:ascii="Arial" w:hAnsi="Arial" w:cs="Arial"/>
          <w:color w:val="000000"/>
          <w:sz w:val="20"/>
          <w:szCs w:val="20"/>
        </w:rPr>
        <w:t>Nadine Lauverjat, Générations Futures, nadine@generations-futures.fr / +33(0)6 87 56 27 54</w:t>
      </w:r>
    </w:p>
    <w:p w:rsidR="005867A5" w:rsidRPr="00085F81" w:rsidRDefault="009B4C3E" w:rsidP="009B4C3E">
      <w:pPr>
        <w:spacing w:after="0" w:line="240" w:lineRule="auto"/>
        <w:rPr>
          <w:rFonts w:ascii="Arial" w:hAnsi="Arial" w:cs="Arial"/>
          <w:color w:val="000000"/>
          <w:sz w:val="20"/>
          <w:szCs w:val="20"/>
        </w:rPr>
      </w:pPr>
      <w:r>
        <w:rPr>
          <w:rFonts w:ascii="Arial" w:hAnsi="Arial" w:cs="Arial"/>
          <w:color w:val="000000"/>
          <w:sz w:val="20"/>
          <w:szCs w:val="20"/>
        </w:rPr>
        <w:t xml:space="preserve">Pauline Berthellemy, RES, </w:t>
      </w:r>
      <w:hyperlink r:id="rId24" w:history="1">
        <w:r w:rsidRPr="00CA1D2B">
          <w:rPr>
            <w:rStyle w:val="Lienhypertexte"/>
            <w:rFonts w:ascii="Arial" w:hAnsi="Arial" w:cs="Arial"/>
            <w:sz w:val="20"/>
            <w:szCs w:val="20"/>
          </w:rPr>
          <w:t>p.berthellemy@reseau-environnement-sante.net</w:t>
        </w:r>
      </w:hyperlink>
      <w:r>
        <w:rPr>
          <w:rFonts w:ascii="Arial" w:hAnsi="Arial" w:cs="Arial"/>
          <w:color w:val="000000"/>
          <w:sz w:val="20"/>
          <w:szCs w:val="20"/>
        </w:rPr>
        <w:t xml:space="preserve">, </w:t>
      </w:r>
      <w:r w:rsidR="00A93FBB">
        <w:rPr>
          <w:rFonts w:ascii="Arial" w:hAnsi="Arial" w:cs="Arial"/>
          <w:color w:val="000000"/>
          <w:sz w:val="20"/>
          <w:szCs w:val="20"/>
        </w:rPr>
        <w:t xml:space="preserve">+ 33 (0)6 11 41 13 </w:t>
      </w:r>
      <w:r>
        <w:rPr>
          <w:rFonts w:ascii="Arial" w:hAnsi="Arial" w:cs="Arial"/>
          <w:color w:val="000000"/>
          <w:sz w:val="20"/>
          <w:szCs w:val="20"/>
        </w:rPr>
        <w:t>54</w:t>
      </w:r>
    </w:p>
    <w:p w:rsidR="00085F81" w:rsidRPr="00B15928" w:rsidRDefault="00085F81" w:rsidP="00E73AF6">
      <w:pPr>
        <w:spacing w:after="0" w:line="240" w:lineRule="auto"/>
        <w:rPr>
          <w:rFonts w:ascii="Arial" w:hAnsi="Arial" w:cs="Arial"/>
          <w:color w:val="000000"/>
          <w:sz w:val="20"/>
          <w:szCs w:val="20"/>
        </w:rPr>
      </w:pPr>
      <w:r w:rsidRPr="00B15928">
        <w:rPr>
          <w:rFonts w:ascii="Arial" w:hAnsi="Arial" w:cs="Arial"/>
          <w:color w:val="000000"/>
          <w:sz w:val="20"/>
          <w:szCs w:val="20"/>
        </w:rPr>
        <w:t xml:space="preserve">Elisabeth Ruffinengo, WECF France, </w:t>
      </w:r>
      <w:hyperlink r:id="rId25" w:history="1">
        <w:r w:rsidRPr="00B15928">
          <w:rPr>
            <w:rStyle w:val="Lienhypertexte"/>
            <w:rFonts w:ascii="Arial" w:hAnsi="Arial" w:cs="Arial"/>
            <w:sz w:val="20"/>
            <w:szCs w:val="20"/>
          </w:rPr>
          <w:t>elisabeth.ruffinengo@wecf.eu</w:t>
        </w:r>
      </w:hyperlink>
      <w:r w:rsidRPr="00B15928">
        <w:rPr>
          <w:rFonts w:ascii="Arial" w:hAnsi="Arial" w:cs="Arial"/>
          <w:color w:val="000000"/>
          <w:sz w:val="20"/>
          <w:szCs w:val="20"/>
        </w:rPr>
        <w:t xml:space="preserve">, + 33 (0)6 74 77 77 00 </w:t>
      </w:r>
    </w:p>
    <w:p w:rsidR="00E73AF6" w:rsidRPr="008439AD" w:rsidRDefault="00C02814" w:rsidP="00E73AF6">
      <w:pPr>
        <w:spacing w:after="0" w:line="240" w:lineRule="auto"/>
        <w:rPr>
          <w:rFonts w:ascii="Arial" w:hAnsi="Arial" w:cs="Arial"/>
          <w:color w:val="000000"/>
          <w:sz w:val="20"/>
          <w:szCs w:val="20"/>
        </w:rPr>
      </w:pPr>
      <w:r w:rsidRPr="008439AD">
        <w:rPr>
          <w:rFonts w:ascii="Arial" w:hAnsi="Arial" w:cs="Arial"/>
          <w:color w:val="000000"/>
          <w:sz w:val="20"/>
          <w:szCs w:val="20"/>
        </w:rPr>
        <w:t xml:space="preserve">Genon K. Jensen, </w:t>
      </w:r>
      <w:r w:rsidR="000426B2" w:rsidRPr="008439AD">
        <w:rPr>
          <w:rFonts w:ascii="Arial" w:hAnsi="Arial" w:cs="Arial"/>
          <w:color w:val="000000"/>
          <w:sz w:val="20"/>
          <w:szCs w:val="20"/>
        </w:rPr>
        <w:t>EDC-</w:t>
      </w:r>
      <w:r w:rsidR="000C12AB" w:rsidRPr="008439AD">
        <w:rPr>
          <w:rFonts w:ascii="Arial" w:hAnsi="Arial" w:cs="Arial"/>
          <w:color w:val="000000"/>
          <w:sz w:val="20"/>
          <w:szCs w:val="20"/>
        </w:rPr>
        <w:t>Free Europe</w:t>
      </w:r>
      <w:r w:rsidRPr="008439AD">
        <w:rPr>
          <w:rFonts w:ascii="Arial" w:hAnsi="Arial" w:cs="Arial"/>
          <w:color w:val="000000"/>
          <w:sz w:val="20"/>
          <w:szCs w:val="20"/>
        </w:rPr>
        <w:t>,</w:t>
      </w:r>
      <w:r w:rsidR="00E73AF6" w:rsidRPr="008439AD">
        <w:rPr>
          <w:rFonts w:ascii="Arial" w:hAnsi="Arial" w:cs="Arial"/>
          <w:color w:val="000000"/>
          <w:sz w:val="20"/>
          <w:szCs w:val="20"/>
        </w:rPr>
        <w:t xml:space="preserve"> </w:t>
      </w:r>
      <w:r w:rsidR="0043233D">
        <w:fldChar w:fldCharType="begin"/>
      </w:r>
      <w:r w:rsidR="0043233D">
        <w:instrText xml:space="preserve"> HYPERLINK "mailto:genon@env-health.org" </w:instrText>
      </w:r>
      <w:r w:rsidR="0043233D">
        <w:fldChar w:fldCharType="separate"/>
      </w:r>
      <w:r w:rsidR="000426B2" w:rsidRPr="008439AD">
        <w:rPr>
          <w:rStyle w:val="Lienhypertexte"/>
          <w:rFonts w:ascii="Arial" w:hAnsi="Arial" w:cs="Arial"/>
          <w:sz w:val="20"/>
          <w:szCs w:val="20"/>
        </w:rPr>
        <w:t>genon@env-health.org</w:t>
      </w:r>
      <w:r w:rsidR="0043233D">
        <w:rPr>
          <w:rStyle w:val="Lienhypertexte"/>
          <w:rFonts w:ascii="Arial" w:hAnsi="Arial" w:cs="Arial"/>
          <w:sz w:val="20"/>
          <w:szCs w:val="20"/>
          <w:lang w:val="en-US"/>
        </w:rPr>
        <w:fldChar w:fldCharType="end"/>
      </w:r>
      <w:r w:rsidR="000426B2" w:rsidRPr="008439AD">
        <w:rPr>
          <w:rStyle w:val="apple-converted-space"/>
          <w:rFonts w:ascii="Arial" w:hAnsi="Arial" w:cs="Arial"/>
          <w:color w:val="000000"/>
          <w:sz w:val="20"/>
          <w:szCs w:val="20"/>
        </w:rPr>
        <w:t xml:space="preserve">, </w:t>
      </w:r>
      <w:r w:rsidR="00E73AF6" w:rsidRPr="008439AD">
        <w:rPr>
          <w:rFonts w:ascii="Arial" w:hAnsi="Arial" w:cs="Arial"/>
          <w:color w:val="000000"/>
          <w:sz w:val="20"/>
          <w:szCs w:val="20"/>
        </w:rPr>
        <w:t>+32 495 808 732</w:t>
      </w:r>
    </w:p>
    <w:p w:rsidR="00C02814" w:rsidRPr="00085F81" w:rsidRDefault="00C02814" w:rsidP="00E73AF6">
      <w:pPr>
        <w:spacing w:after="0" w:line="240" w:lineRule="auto"/>
        <w:rPr>
          <w:rFonts w:ascii="Arial" w:hAnsi="Arial" w:cs="Arial"/>
          <w:b/>
          <w:bCs/>
          <w:color w:val="000000"/>
          <w:sz w:val="18"/>
          <w:szCs w:val="18"/>
        </w:rPr>
      </w:pPr>
      <w:r w:rsidRPr="00B15928">
        <w:rPr>
          <w:rFonts w:ascii="Arial" w:hAnsi="Arial" w:cs="Arial"/>
          <w:color w:val="000000"/>
          <w:sz w:val="20"/>
          <w:szCs w:val="20"/>
        </w:rPr>
        <w:br/>
      </w:r>
      <w:r w:rsidRPr="00AE0E87">
        <w:rPr>
          <w:rStyle w:val="lev"/>
          <w:rFonts w:ascii="Arial" w:hAnsi="Arial" w:cs="Arial"/>
          <w:color w:val="000000"/>
          <w:sz w:val="18"/>
          <w:szCs w:val="18"/>
        </w:rPr>
        <w:t>Notes</w:t>
      </w:r>
    </w:p>
    <w:p w:rsidR="00695FE9" w:rsidRPr="005867A5" w:rsidRDefault="00C02814" w:rsidP="00E73AF6">
      <w:pPr>
        <w:spacing w:after="0" w:line="240" w:lineRule="auto"/>
        <w:rPr>
          <w:rStyle w:val="apple-converted-space"/>
          <w:rFonts w:ascii="Arial" w:hAnsi="Arial" w:cs="Arial"/>
          <w:color w:val="000000"/>
          <w:sz w:val="20"/>
          <w:szCs w:val="20"/>
        </w:rPr>
      </w:pPr>
      <w:r w:rsidRPr="005867A5">
        <w:rPr>
          <w:rFonts w:ascii="Arial" w:hAnsi="Arial" w:cs="Arial"/>
          <w:b/>
          <w:color w:val="002060"/>
          <w:sz w:val="20"/>
          <w:szCs w:val="20"/>
        </w:rPr>
        <w:t>1.</w:t>
      </w:r>
      <w:r w:rsidR="00685388" w:rsidRPr="005867A5">
        <w:rPr>
          <w:rStyle w:val="apple-converted-space"/>
          <w:rFonts w:ascii="Arial" w:hAnsi="Arial" w:cs="Arial"/>
          <w:color w:val="000000"/>
          <w:sz w:val="20"/>
          <w:szCs w:val="20"/>
        </w:rPr>
        <w:t xml:space="preserve">Plateforme </w:t>
      </w:r>
      <w:r w:rsidR="00695FE9" w:rsidRPr="005867A5">
        <w:rPr>
          <w:rStyle w:val="apple-converted-space"/>
          <w:rFonts w:ascii="Arial" w:hAnsi="Arial" w:cs="Arial"/>
          <w:color w:val="000000"/>
          <w:sz w:val="20"/>
          <w:szCs w:val="20"/>
        </w:rPr>
        <w:t>“</w:t>
      </w:r>
      <w:r w:rsidR="00685388" w:rsidRPr="005867A5">
        <w:rPr>
          <w:rStyle w:val="apple-converted-space"/>
          <w:rFonts w:ascii="Arial" w:hAnsi="Arial" w:cs="Arial"/>
          <w:color w:val="000000"/>
          <w:sz w:val="20"/>
          <w:szCs w:val="20"/>
        </w:rPr>
        <w:t>Dites NON aux perturbateurs endocriniens”</w:t>
      </w:r>
      <w:r w:rsidR="00880520">
        <w:rPr>
          <w:rFonts w:ascii="Arial" w:hAnsi="Arial" w:cs="Arial"/>
          <w:color w:val="000000"/>
          <w:sz w:val="20"/>
          <w:szCs w:val="20"/>
        </w:rPr>
        <w:t xml:space="preserve"> </w:t>
      </w:r>
      <w:hyperlink r:id="rId26" w:history="1">
        <w:r w:rsidR="00880520" w:rsidRPr="00880520">
          <w:rPr>
            <w:rStyle w:val="Lienhypertexte"/>
            <w:rFonts w:ascii="Arial" w:hAnsi="Arial" w:cs="Arial"/>
            <w:sz w:val="20"/>
            <w:szCs w:val="20"/>
          </w:rPr>
          <w:t>http://no2hormonedisruptingchemicals.org/fr</w:t>
        </w:r>
      </w:hyperlink>
      <w:r w:rsidR="00880520">
        <w:rPr>
          <w:rStyle w:val="Lienhypertexte"/>
          <w:rFonts w:ascii="Arial" w:hAnsi="Arial" w:cs="Arial"/>
          <w:sz w:val="20"/>
          <w:szCs w:val="20"/>
        </w:rPr>
        <w:t xml:space="preserve"> </w:t>
      </w:r>
    </w:p>
    <w:p w:rsidR="000232F9" w:rsidRPr="005867A5" w:rsidRDefault="00371F0E" w:rsidP="00E73AF6">
      <w:pPr>
        <w:spacing w:after="0" w:line="240" w:lineRule="auto"/>
        <w:rPr>
          <w:rFonts w:ascii="Arial" w:hAnsi="Arial" w:cs="Arial"/>
          <w:sz w:val="20"/>
          <w:szCs w:val="20"/>
        </w:rPr>
      </w:pPr>
      <w:r w:rsidRPr="005867A5">
        <w:rPr>
          <w:rFonts w:ascii="Arial" w:hAnsi="Arial" w:cs="Arial"/>
          <w:sz w:val="20"/>
          <w:szCs w:val="20"/>
        </w:rPr>
        <w:t xml:space="preserve">Grâce à la </w:t>
      </w:r>
      <w:r w:rsidR="00685388" w:rsidRPr="005867A5">
        <w:rPr>
          <w:rFonts w:ascii="Arial" w:hAnsi="Arial" w:cs="Arial"/>
          <w:sz w:val="20"/>
          <w:szCs w:val="20"/>
        </w:rPr>
        <w:t xml:space="preserve">plateforme en ligne </w:t>
      </w:r>
      <w:r w:rsidR="00175129" w:rsidRPr="005867A5">
        <w:rPr>
          <w:rFonts w:ascii="Arial" w:hAnsi="Arial" w:cs="Arial"/>
          <w:sz w:val="20"/>
          <w:szCs w:val="20"/>
        </w:rPr>
        <w:t xml:space="preserve">il est facile et rapide de participer à la consultation, avec des réponses toute prêtes aux questions qui seront automatiquement soumises à la consultation lors du remplissage et de l’envoi du formulaire de renseignements. </w:t>
      </w:r>
      <w:r w:rsidR="0057615A" w:rsidRPr="005867A5">
        <w:rPr>
          <w:rFonts w:ascii="Arial" w:hAnsi="Arial" w:cs="Arial"/>
          <w:sz w:val="20"/>
          <w:szCs w:val="20"/>
        </w:rPr>
        <w:t xml:space="preserve">Disponible en plusieurs langues. </w:t>
      </w:r>
    </w:p>
    <w:p w:rsidR="005A53C8" w:rsidRDefault="005867A5" w:rsidP="00E73AF6">
      <w:pPr>
        <w:spacing w:after="0" w:line="240" w:lineRule="auto"/>
        <w:rPr>
          <w:rFonts w:ascii="Arial" w:hAnsi="Arial" w:cs="Arial"/>
          <w:sz w:val="20"/>
          <w:szCs w:val="20"/>
        </w:rPr>
      </w:pPr>
      <w:r w:rsidRPr="005A53C8">
        <w:rPr>
          <w:rFonts w:ascii="Arial" w:hAnsi="Arial" w:cs="Arial"/>
          <w:sz w:val="20"/>
          <w:szCs w:val="20"/>
        </w:rPr>
        <w:t xml:space="preserve">2. </w:t>
      </w:r>
      <w:r w:rsidR="005A53C8" w:rsidRPr="005A53C8">
        <w:rPr>
          <w:rFonts w:ascii="Arial" w:hAnsi="Arial" w:cs="Arial"/>
          <w:sz w:val="20"/>
          <w:szCs w:val="20"/>
        </w:rPr>
        <w:t xml:space="preserve"> Règlement</w:t>
      </w:r>
      <w:r w:rsidR="005A53C8">
        <w:rPr>
          <w:rFonts w:ascii="Arial" w:hAnsi="Arial" w:cs="Arial"/>
          <w:sz w:val="20"/>
          <w:szCs w:val="20"/>
        </w:rPr>
        <w:t xml:space="preserve"> CE</w:t>
      </w:r>
      <w:r w:rsidR="005A53C8" w:rsidRPr="005A53C8">
        <w:rPr>
          <w:rFonts w:ascii="Arial" w:hAnsi="Arial" w:cs="Arial"/>
          <w:sz w:val="20"/>
          <w:szCs w:val="20"/>
        </w:rPr>
        <w:t xml:space="preserve"> 1107/2009</w:t>
      </w:r>
      <w:hyperlink r:id="rId27" w:history="1">
        <w:r w:rsidR="005A53C8" w:rsidRPr="005A53C8">
          <w:rPr>
            <w:rStyle w:val="Lienhypertexte"/>
            <w:rFonts w:ascii="Arial" w:hAnsi="Arial" w:cs="Arial"/>
            <w:sz w:val="20"/>
            <w:szCs w:val="20"/>
          </w:rPr>
          <w:t>, Information de la délégation française au Conseil des ministres de l’UE juin 2014</w:t>
        </w:r>
      </w:hyperlink>
      <w:r w:rsidR="005A53C8">
        <w:rPr>
          <w:rFonts w:ascii="Arial" w:hAnsi="Arial" w:cs="Arial"/>
          <w:sz w:val="20"/>
          <w:szCs w:val="20"/>
        </w:rPr>
        <w:t xml:space="preserve"> et </w:t>
      </w:r>
      <w:hyperlink r:id="rId28" w:history="1">
        <w:r w:rsidR="005A53C8" w:rsidRPr="005A53C8">
          <w:rPr>
            <w:rStyle w:val="Lienhypertexte"/>
            <w:rFonts w:ascii="Arial" w:hAnsi="Arial" w:cs="Arial"/>
            <w:sz w:val="20"/>
            <w:szCs w:val="20"/>
          </w:rPr>
          <w:t>position de Générations Futures sur la feuille de route de la Commission européenne</w:t>
        </w:r>
      </w:hyperlink>
      <w:r w:rsidR="005A53C8">
        <w:rPr>
          <w:rFonts w:ascii="Arial" w:hAnsi="Arial" w:cs="Arial"/>
          <w:sz w:val="20"/>
          <w:szCs w:val="20"/>
        </w:rPr>
        <w:t>.</w:t>
      </w:r>
    </w:p>
    <w:p w:rsidR="005867A5" w:rsidRPr="005867A5" w:rsidRDefault="005867A5" w:rsidP="00E73AF6">
      <w:pPr>
        <w:spacing w:after="0" w:line="240" w:lineRule="auto"/>
        <w:rPr>
          <w:rFonts w:ascii="Arial" w:hAnsi="Arial" w:cs="Arial"/>
          <w:sz w:val="20"/>
          <w:szCs w:val="20"/>
        </w:rPr>
      </w:pPr>
      <w:r w:rsidRPr="005867A5">
        <w:rPr>
          <w:rFonts w:ascii="Arial" w:hAnsi="Arial" w:cs="Arial"/>
          <w:b/>
          <w:color w:val="002060"/>
          <w:sz w:val="20"/>
          <w:szCs w:val="20"/>
        </w:rPr>
        <w:t>3</w:t>
      </w:r>
      <w:r w:rsidR="00C02814" w:rsidRPr="005867A5">
        <w:rPr>
          <w:rFonts w:ascii="Arial" w:hAnsi="Arial" w:cs="Arial"/>
          <w:b/>
          <w:color w:val="002060"/>
          <w:sz w:val="20"/>
          <w:szCs w:val="20"/>
        </w:rPr>
        <w:t>.</w:t>
      </w:r>
      <w:r w:rsidR="0057615A" w:rsidRPr="005867A5">
        <w:rPr>
          <w:rFonts w:ascii="Arial" w:hAnsi="Arial" w:cs="Arial"/>
          <w:color w:val="002060"/>
          <w:sz w:val="20"/>
          <w:szCs w:val="20"/>
        </w:rPr>
        <w:t xml:space="preserve"> </w:t>
      </w:r>
      <w:r w:rsidR="0057615A" w:rsidRPr="005867A5">
        <w:rPr>
          <w:rFonts w:ascii="Arial" w:hAnsi="Arial" w:cs="Arial"/>
          <w:color w:val="000000"/>
          <w:sz w:val="20"/>
          <w:szCs w:val="20"/>
        </w:rPr>
        <w:t xml:space="preserve">La </w:t>
      </w:r>
      <w:hyperlink r:id="rId29" w:history="1">
        <w:r w:rsidR="00AE0E87" w:rsidRPr="005867A5">
          <w:rPr>
            <w:rStyle w:val="Lienhypertexte"/>
            <w:rFonts w:ascii="Arial" w:hAnsi="Arial" w:cs="Arial"/>
            <w:sz w:val="20"/>
            <w:szCs w:val="20"/>
          </w:rPr>
          <w:t>consultation publique</w:t>
        </w:r>
        <w:r w:rsidR="0057615A" w:rsidRPr="005867A5">
          <w:rPr>
            <w:rStyle w:val="Lienhypertexte"/>
            <w:rFonts w:ascii="Arial" w:hAnsi="Arial" w:cs="Arial"/>
            <w:sz w:val="20"/>
            <w:szCs w:val="20"/>
          </w:rPr>
          <w:t xml:space="preserve"> sur la définition des critères PE</w:t>
        </w:r>
      </w:hyperlink>
      <w:r w:rsidR="0057615A" w:rsidRPr="005867A5">
        <w:rPr>
          <w:rFonts w:ascii="Arial" w:hAnsi="Arial" w:cs="Arial"/>
          <w:color w:val="000000"/>
          <w:sz w:val="20"/>
          <w:szCs w:val="20"/>
        </w:rPr>
        <w:t xml:space="preserve"> lancée par la Commission européenne </w:t>
      </w:r>
      <w:r w:rsidR="00C02814" w:rsidRPr="005867A5">
        <w:rPr>
          <w:rFonts w:ascii="Arial" w:hAnsi="Arial" w:cs="Arial"/>
          <w:color w:val="000000"/>
          <w:sz w:val="20"/>
          <w:szCs w:val="20"/>
        </w:rPr>
        <w:t xml:space="preserve"> </w:t>
      </w:r>
      <w:r w:rsidR="00077058" w:rsidRPr="005867A5">
        <w:rPr>
          <w:rFonts w:ascii="Arial" w:hAnsi="Arial" w:cs="Arial"/>
          <w:color w:val="000000"/>
          <w:sz w:val="20"/>
          <w:szCs w:val="20"/>
        </w:rPr>
        <w:t xml:space="preserve">(DG </w:t>
      </w:r>
      <w:proofErr w:type="spellStart"/>
      <w:r w:rsidR="00077058" w:rsidRPr="005867A5">
        <w:rPr>
          <w:rFonts w:ascii="Arial" w:hAnsi="Arial" w:cs="Arial"/>
          <w:color w:val="000000"/>
          <w:sz w:val="20"/>
          <w:szCs w:val="20"/>
        </w:rPr>
        <w:t>Sanco</w:t>
      </w:r>
      <w:proofErr w:type="spellEnd"/>
      <w:r w:rsidR="00077058" w:rsidRPr="005867A5">
        <w:rPr>
          <w:rFonts w:ascii="Arial" w:hAnsi="Arial" w:cs="Arial"/>
          <w:color w:val="000000"/>
          <w:sz w:val="20"/>
          <w:szCs w:val="20"/>
        </w:rPr>
        <w:t xml:space="preserve">) </w:t>
      </w:r>
      <w:r w:rsidR="0057615A" w:rsidRPr="005867A5">
        <w:rPr>
          <w:rFonts w:ascii="Arial" w:hAnsi="Arial" w:cs="Arial"/>
          <w:sz w:val="20"/>
          <w:szCs w:val="20"/>
        </w:rPr>
        <w:t xml:space="preserve">dans le contexte de l’application des règlements pesticides et biocides s’achève le 16 janvier </w:t>
      </w:r>
      <w:r w:rsidR="00964594" w:rsidRPr="005867A5">
        <w:rPr>
          <w:rFonts w:ascii="Arial" w:hAnsi="Arial" w:cs="Arial"/>
          <w:sz w:val="20"/>
          <w:szCs w:val="20"/>
        </w:rPr>
        <w:t>2014.</w:t>
      </w:r>
    </w:p>
    <w:p w:rsidR="00AE0E87" w:rsidRPr="005867A5" w:rsidRDefault="005867A5" w:rsidP="00E73AF6">
      <w:pPr>
        <w:spacing w:after="0" w:line="240" w:lineRule="auto"/>
        <w:rPr>
          <w:rFonts w:ascii="Arial" w:hAnsi="Arial" w:cs="Arial"/>
          <w:color w:val="000000"/>
          <w:sz w:val="20"/>
          <w:szCs w:val="20"/>
        </w:rPr>
      </w:pPr>
      <w:r w:rsidRPr="005867A5">
        <w:rPr>
          <w:rFonts w:ascii="Arial" w:hAnsi="Arial" w:cs="Arial"/>
          <w:b/>
          <w:color w:val="002060"/>
          <w:sz w:val="20"/>
          <w:szCs w:val="20"/>
        </w:rPr>
        <w:t>4</w:t>
      </w:r>
      <w:r w:rsidR="00301E16" w:rsidRPr="005867A5">
        <w:rPr>
          <w:rFonts w:ascii="Arial" w:hAnsi="Arial" w:cs="Arial"/>
          <w:b/>
          <w:color w:val="002060"/>
          <w:sz w:val="20"/>
          <w:szCs w:val="20"/>
        </w:rPr>
        <w:t>.</w:t>
      </w:r>
      <w:r w:rsidR="00301E16" w:rsidRPr="005867A5">
        <w:rPr>
          <w:rFonts w:ascii="Arial" w:hAnsi="Arial" w:cs="Arial"/>
          <w:color w:val="002060"/>
          <w:sz w:val="20"/>
          <w:szCs w:val="20"/>
        </w:rPr>
        <w:t xml:space="preserve"> </w:t>
      </w:r>
      <w:hyperlink r:id="rId30" w:history="1">
        <w:r w:rsidR="00301E16" w:rsidRPr="005867A5">
          <w:rPr>
            <w:rStyle w:val="Lienhypertexte"/>
            <w:rFonts w:ascii="Arial" w:hAnsi="Arial" w:cs="Arial"/>
            <w:sz w:val="20"/>
            <w:szCs w:val="20"/>
          </w:rPr>
          <w:t>Communiqué du Ministère de l’Ecologie, du Développement Durable et de l’Energie à l’issue de la Conférence environnementale,</w:t>
        </w:r>
      </w:hyperlink>
      <w:r w:rsidR="00301E16" w:rsidRPr="005867A5">
        <w:rPr>
          <w:rFonts w:ascii="Arial" w:hAnsi="Arial" w:cs="Arial"/>
          <w:color w:val="000000"/>
          <w:sz w:val="20"/>
          <w:szCs w:val="20"/>
        </w:rPr>
        <w:t xml:space="preserve"> 28 novembre 2014. </w:t>
      </w:r>
    </w:p>
    <w:p w:rsidR="000232F9" w:rsidRPr="005867A5" w:rsidRDefault="005867A5" w:rsidP="00E73AF6">
      <w:pPr>
        <w:spacing w:after="0" w:line="240" w:lineRule="auto"/>
        <w:rPr>
          <w:rFonts w:ascii="Arial" w:hAnsi="Arial" w:cs="Arial"/>
          <w:sz w:val="20"/>
          <w:szCs w:val="20"/>
        </w:rPr>
      </w:pPr>
      <w:r w:rsidRPr="005867A5">
        <w:rPr>
          <w:rFonts w:ascii="Arial" w:hAnsi="Arial" w:cs="Arial"/>
          <w:b/>
          <w:color w:val="002060"/>
          <w:sz w:val="20"/>
          <w:szCs w:val="20"/>
        </w:rPr>
        <w:t>5</w:t>
      </w:r>
      <w:r w:rsidR="00077058" w:rsidRPr="005867A5">
        <w:rPr>
          <w:rFonts w:ascii="Arial" w:hAnsi="Arial" w:cs="Arial"/>
          <w:b/>
          <w:color w:val="002060"/>
          <w:sz w:val="20"/>
          <w:szCs w:val="20"/>
        </w:rPr>
        <w:t>.</w:t>
      </w:r>
      <w:r w:rsidR="00077058" w:rsidRPr="005867A5">
        <w:rPr>
          <w:rFonts w:ascii="Arial" w:hAnsi="Arial" w:cs="Arial"/>
          <w:color w:val="002060"/>
          <w:sz w:val="20"/>
          <w:szCs w:val="20"/>
        </w:rPr>
        <w:t xml:space="preserve"> </w:t>
      </w:r>
      <w:r w:rsidR="00AE0E87" w:rsidRPr="005867A5">
        <w:rPr>
          <w:rFonts w:ascii="Arial" w:hAnsi="Arial" w:cs="Arial"/>
          <w:sz w:val="20"/>
          <w:szCs w:val="20"/>
        </w:rPr>
        <w:t xml:space="preserve">Deux rapports récents estimant les dépenses de santé associées aux perturbateurs endocriniens : </w:t>
      </w:r>
    </w:p>
    <w:p w:rsidR="00077058" w:rsidRPr="005867A5" w:rsidRDefault="00077058" w:rsidP="00E73AF6">
      <w:pPr>
        <w:spacing w:after="0" w:line="240" w:lineRule="auto"/>
        <w:rPr>
          <w:rFonts w:ascii="Arial" w:eastAsia="Times New Roman" w:hAnsi="Arial" w:cs="Arial"/>
          <w:sz w:val="20"/>
          <w:szCs w:val="20"/>
          <w:lang w:val="en-GB" w:eastAsia="fr-FR"/>
        </w:rPr>
      </w:pPr>
      <w:proofErr w:type="spellStart"/>
      <w:r w:rsidRPr="005867A5">
        <w:rPr>
          <w:rFonts w:ascii="Arial" w:eastAsia="Times New Roman" w:hAnsi="Arial" w:cs="Arial"/>
          <w:sz w:val="20"/>
          <w:szCs w:val="20"/>
          <w:lang w:val="en-GB" w:eastAsia="fr-FR"/>
        </w:rPr>
        <w:t>Norden</w:t>
      </w:r>
      <w:proofErr w:type="spellEnd"/>
      <w:r w:rsidRPr="005867A5">
        <w:rPr>
          <w:rFonts w:ascii="Arial" w:eastAsia="Times New Roman" w:hAnsi="Arial" w:cs="Arial"/>
          <w:sz w:val="20"/>
          <w:szCs w:val="20"/>
          <w:lang w:val="en-GB" w:eastAsia="fr-FR"/>
        </w:rPr>
        <w:t xml:space="preserve"> – Th</w:t>
      </w:r>
      <w:r w:rsidR="00AE0E87" w:rsidRPr="005867A5">
        <w:rPr>
          <w:rFonts w:ascii="Arial" w:eastAsia="Times New Roman" w:hAnsi="Arial" w:cs="Arial"/>
          <w:sz w:val="20"/>
          <w:szCs w:val="20"/>
          <w:lang w:val="en-GB" w:eastAsia="fr-FR"/>
        </w:rPr>
        <w:t xml:space="preserve">e Nordic Council of Ministers, </w:t>
      </w:r>
      <w:r w:rsidR="0043233D">
        <w:fldChar w:fldCharType="begin"/>
      </w:r>
      <w:r w:rsidR="0043233D" w:rsidRPr="008439AD">
        <w:rPr>
          <w:lang w:val="en-US"/>
        </w:rPr>
        <w:instrText xml:space="preserve"> HYPERLINK "http://norden.diva-portal.org/smash/record.jsf?pid=diva2%3A763442&amp;dswid=-8392" </w:instrText>
      </w:r>
      <w:r w:rsidR="0043233D">
        <w:fldChar w:fldCharType="separate"/>
      </w:r>
      <w:r w:rsidRPr="005867A5">
        <w:rPr>
          <w:rStyle w:val="Lienhypertexte"/>
          <w:rFonts w:ascii="Arial" w:eastAsia="Times New Roman" w:hAnsi="Arial" w:cs="Arial"/>
          <w:i/>
          <w:sz w:val="20"/>
          <w:szCs w:val="20"/>
          <w:lang w:val="en-GB" w:eastAsia="fr-FR"/>
        </w:rPr>
        <w:t>The Cost of Inaction: Socioeconomic analysis of costs linked to effects of endocrine disrupting substances on male reproductive health</w:t>
      </w:r>
      <w:r w:rsidR="0043233D">
        <w:rPr>
          <w:rStyle w:val="Lienhypertexte"/>
          <w:rFonts w:ascii="Arial" w:eastAsia="Times New Roman" w:hAnsi="Arial" w:cs="Arial"/>
          <w:i/>
          <w:sz w:val="20"/>
          <w:szCs w:val="20"/>
          <w:lang w:val="en-GB" w:eastAsia="fr-FR"/>
        </w:rPr>
        <w:fldChar w:fldCharType="end"/>
      </w:r>
      <w:r w:rsidR="00AE0E87" w:rsidRPr="005867A5">
        <w:rPr>
          <w:rFonts w:ascii="Arial" w:eastAsia="Times New Roman" w:hAnsi="Arial" w:cs="Arial"/>
          <w:i/>
          <w:sz w:val="20"/>
          <w:szCs w:val="20"/>
          <w:lang w:val="en-GB" w:eastAsia="fr-FR"/>
        </w:rPr>
        <w:t xml:space="preserve"> </w:t>
      </w:r>
    </w:p>
    <w:p w:rsidR="00AE0E87" w:rsidRPr="005867A5" w:rsidRDefault="00077058" w:rsidP="00E73AF6">
      <w:pPr>
        <w:spacing w:after="0" w:line="240" w:lineRule="auto"/>
        <w:rPr>
          <w:rFonts w:ascii="Arial" w:eastAsia="Times New Roman" w:hAnsi="Arial" w:cs="Arial"/>
          <w:i/>
          <w:sz w:val="20"/>
          <w:szCs w:val="20"/>
          <w:lang w:val="en-GB" w:eastAsia="fr-FR"/>
        </w:rPr>
      </w:pPr>
      <w:r w:rsidRPr="005867A5">
        <w:rPr>
          <w:rFonts w:ascii="Arial" w:eastAsia="Times New Roman" w:hAnsi="Arial" w:cs="Arial"/>
          <w:sz w:val="20"/>
          <w:szCs w:val="20"/>
          <w:lang w:val="en-GB" w:eastAsia="fr-FR"/>
        </w:rPr>
        <w:t>Health a</w:t>
      </w:r>
      <w:r w:rsidR="00AE0E87" w:rsidRPr="005867A5">
        <w:rPr>
          <w:rFonts w:ascii="Arial" w:eastAsia="Times New Roman" w:hAnsi="Arial" w:cs="Arial"/>
          <w:sz w:val="20"/>
          <w:szCs w:val="20"/>
          <w:lang w:val="en-GB" w:eastAsia="fr-FR"/>
        </w:rPr>
        <w:t xml:space="preserve">nd Environment Alliance (HEAL) </w:t>
      </w:r>
      <w:r w:rsidR="0043233D">
        <w:fldChar w:fldCharType="begin"/>
      </w:r>
      <w:r w:rsidR="0043233D" w:rsidRPr="008439AD">
        <w:rPr>
          <w:lang w:val="en-US"/>
        </w:rPr>
        <w:instrText xml:space="preserve"> HYPERLINK "http://www.env-health.org/IMG/pdf/18062014_final_health_costs_in_the_european_union_how_much_is_realted_to_edcs.pdf" </w:instrText>
      </w:r>
      <w:r w:rsidR="0043233D">
        <w:fldChar w:fldCharType="separate"/>
      </w:r>
      <w:r w:rsidRPr="005867A5">
        <w:rPr>
          <w:rStyle w:val="Lienhypertexte"/>
          <w:rFonts w:ascii="Arial" w:eastAsia="Times New Roman" w:hAnsi="Arial" w:cs="Arial"/>
          <w:i/>
          <w:sz w:val="20"/>
          <w:szCs w:val="20"/>
          <w:lang w:val="en-GB" w:eastAsia="fr-FR"/>
        </w:rPr>
        <w:t>Health costs in the EU: How</w:t>
      </w:r>
      <w:r w:rsidRPr="005867A5">
        <w:rPr>
          <w:rStyle w:val="Lienhypertexte"/>
          <w:rFonts w:ascii="Arial" w:hAnsi="Arial" w:cs="Arial"/>
          <w:i/>
          <w:sz w:val="20"/>
          <w:szCs w:val="20"/>
          <w:lang w:val="en-GB"/>
        </w:rPr>
        <w:t xml:space="preserve"> much is related to Endocrine Disrupting Chemicals?</w:t>
      </w:r>
      <w:r w:rsidR="0043233D">
        <w:rPr>
          <w:rStyle w:val="Lienhypertexte"/>
          <w:rFonts w:ascii="Arial" w:hAnsi="Arial" w:cs="Arial"/>
          <w:i/>
          <w:sz w:val="20"/>
          <w:szCs w:val="20"/>
          <w:lang w:val="en-GB"/>
        </w:rPr>
        <w:fldChar w:fldCharType="end"/>
      </w:r>
    </w:p>
    <w:p w:rsidR="004E01AA" w:rsidRPr="005867A5" w:rsidRDefault="005867A5" w:rsidP="00E73AF6">
      <w:pPr>
        <w:spacing w:after="0" w:line="240" w:lineRule="auto"/>
        <w:rPr>
          <w:rFonts w:ascii="Arial" w:hAnsi="Arial" w:cs="Arial"/>
          <w:bCs/>
          <w:sz w:val="20"/>
          <w:szCs w:val="20"/>
          <w:lang w:val="en-GB"/>
        </w:rPr>
      </w:pPr>
      <w:r w:rsidRPr="005867A5">
        <w:rPr>
          <w:rFonts w:ascii="Arial" w:hAnsi="Arial" w:cs="Arial"/>
          <w:b/>
          <w:color w:val="002060"/>
          <w:sz w:val="20"/>
          <w:szCs w:val="20"/>
          <w:lang w:val="en-GB"/>
        </w:rPr>
        <w:t>6</w:t>
      </w:r>
      <w:r w:rsidR="00D814A6" w:rsidRPr="005867A5">
        <w:rPr>
          <w:rFonts w:ascii="Arial" w:hAnsi="Arial" w:cs="Arial"/>
          <w:b/>
          <w:color w:val="002060"/>
          <w:sz w:val="20"/>
          <w:szCs w:val="20"/>
          <w:lang w:val="en-GB"/>
        </w:rPr>
        <w:t>.</w:t>
      </w:r>
      <w:r w:rsidR="00D814A6" w:rsidRPr="005867A5">
        <w:rPr>
          <w:rFonts w:ascii="Arial" w:hAnsi="Arial" w:cs="Arial"/>
          <w:color w:val="002060"/>
          <w:sz w:val="20"/>
          <w:szCs w:val="20"/>
          <w:lang w:val="en-GB"/>
        </w:rPr>
        <w:t xml:space="preserve"> </w:t>
      </w:r>
      <w:r w:rsidR="0043233D">
        <w:fldChar w:fldCharType="begin"/>
      </w:r>
      <w:r w:rsidR="0043233D" w:rsidRPr="008439AD">
        <w:rPr>
          <w:lang w:val="en-US"/>
        </w:rPr>
        <w:instrText xml:space="preserve"> HYPERLINK "http://www.who.int/ceh/publications/endocrine/en/" </w:instrText>
      </w:r>
      <w:r w:rsidR="0043233D">
        <w:fldChar w:fldCharType="separate"/>
      </w:r>
      <w:r w:rsidR="004E01AA" w:rsidRPr="005867A5">
        <w:rPr>
          <w:rStyle w:val="Lienhypertexte"/>
          <w:rFonts w:ascii="Arial" w:hAnsi="Arial" w:cs="Arial"/>
          <w:bCs/>
          <w:sz w:val="20"/>
          <w:szCs w:val="20"/>
          <w:lang w:val="en-GB"/>
        </w:rPr>
        <w:t>State of the science of endocrine disrupting chemicals</w:t>
      </w:r>
      <w:r w:rsidR="0043233D">
        <w:rPr>
          <w:rStyle w:val="Lienhypertexte"/>
          <w:rFonts w:ascii="Arial" w:hAnsi="Arial" w:cs="Arial"/>
          <w:bCs/>
          <w:sz w:val="20"/>
          <w:szCs w:val="20"/>
          <w:lang w:val="en-GB"/>
        </w:rPr>
        <w:fldChar w:fldCharType="end"/>
      </w:r>
      <w:r w:rsidR="004E01AA" w:rsidRPr="005867A5">
        <w:rPr>
          <w:rFonts w:ascii="Arial" w:hAnsi="Arial" w:cs="Arial"/>
          <w:bCs/>
          <w:sz w:val="20"/>
          <w:szCs w:val="20"/>
          <w:lang w:val="en-GB"/>
        </w:rPr>
        <w:t xml:space="preserve"> – 2012 (WHO/UNEP report) </w:t>
      </w:r>
    </w:p>
    <w:p w:rsidR="00D814A6" w:rsidRPr="005867A5" w:rsidRDefault="005867A5" w:rsidP="00E73AF6">
      <w:pPr>
        <w:spacing w:after="0" w:line="240" w:lineRule="auto"/>
        <w:rPr>
          <w:rFonts w:ascii="Arial" w:hAnsi="Arial" w:cs="Arial"/>
          <w:sz w:val="20"/>
          <w:szCs w:val="20"/>
        </w:rPr>
      </w:pPr>
      <w:r w:rsidRPr="005867A5">
        <w:rPr>
          <w:rFonts w:ascii="Arial" w:hAnsi="Arial" w:cs="Arial"/>
          <w:b/>
          <w:color w:val="002060"/>
          <w:sz w:val="20"/>
          <w:szCs w:val="20"/>
        </w:rPr>
        <w:t>7</w:t>
      </w:r>
      <w:r w:rsidR="004E01AA" w:rsidRPr="005867A5">
        <w:rPr>
          <w:rFonts w:ascii="Arial" w:hAnsi="Arial" w:cs="Arial"/>
          <w:b/>
          <w:color w:val="002060"/>
          <w:sz w:val="20"/>
          <w:szCs w:val="20"/>
        </w:rPr>
        <w:t>.</w:t>
      </w:r>
      <w:r w:rsidR="004E01AA" w:rsidRPr="005867A5">
        <w:rPr>
          <w:rFonts w:ascii="Arial" w:hAnsi="Arial" w:cs="Arial"/>
          <w:color w:val="002060"/>
          <w:sz w:val="20"/>
          <w:szCs w:val="20"/>
        </w:rPr>
        <w:t xml:space="preserve"> </w:t>
      </w:r>
      <w:r w:rsidR="00F368F1" w:rsidRPr="005867A5">
        <w:rPr>
          <w:rFonts w:ascii="Arial" w:hAnsi="Arial" w:cs="Arial"/>
          <w:sz w:val="20"/>
          <w:szCs w:val="20"/>
        </w:rPr>
        <w:t xml:space="preserve">Voir notamment le </w:t>
      </w:r>
      <w:hyperlink r:id="rId31" w:history="1">
        <w:r w:rsidR="00F368F1" w:rsidRPr="005867A5">
          <w:rPr>
            <w:rStyle w:val="Lienhypertexte"/>
            <w:rFonts w:ascii="Arial" w:hAnsi="Arial" w:cs="Arial"/>
            <w:sz w:val="20"/>
            <w:szCs w:val="20"/>
          </w:rPr>
          <w:t xml:space="preserve">documentaire </w:t>
        </w:r>
        <w:proofErr w:type="spellStart"/>
        <w:r w:rsidR="00F368F1" w:rsidRPr="005867A5">
          <w:rPr>
            <w:rStyle w:val="Lienhypertexte"/>
            <w:rFonts w:ascii="Arial" w:hAnsi="Arial" w:cs="Arial"/>
            <w:sz w:val="20"/>
            <w:szCs w:val="20"/>
          </w:rPr>
          <w:t>Endoc</w:t>
        </w:r>
        <w:proofErr w:type="spellEnd"/>
        <w:r w:rsidR="00F368F1" w:rsidRPr="005867A5">
          <w:rPr>
            <w:rStyle w:val="Lienhypertexte"/>
            <w:rFonts w:ascii="Arial" w:hAnsi="Arial" w:cs="Arial"/>
            <w:sz w:val="20"/>
            <w:szCs w:val="20"/>
          </w:rPr>
          <w:t>(t)</w:t>
        </w:r>
        <w:proofErr w:type="spellStart"/>
        <w:r w:rsidR="00F368F1" w:rsidRPr="005867A5">
          <w:rPr>
            <w:rStyle w:val="Lienhypertexte"/>
            <w:rFonts w:ascii="Arial" w:hAnsi="Arial" w:cs="Arial"/>
            <w:sz w:val="20"/>
            <w:szCs w:val="20"/>
          </w:rPr>
          <w:t>rinement</w:t>
        </w:r>
        <w:proofErr w:type="spellEnd"/>
      </w:hyperlink>
      <w:r w:rsidR="00F368F1" w:rsidRPr="005867A5">
        <w:rPr>
          <w:rFonts w:ascii="Arial" w:hAnsi="Arial" w:cs="Arial"/>
          <w:sz w:val="20"/>
          <w:szCs w:val="20"/>
        </w:rPr>
        <w:t xml:space="preserve"> </w:t>
      </w:r>
      <w:r w:rsidR="00D966DD" w:rsidRPr="005867A5">
        <w:rPr>
          <w:rFonts w:ascii="Arial" w:hAnsi="Arial" w:cs="Arial"/>
          <w:sz w:val="20"/>
          <w:szCs w:val="20"/>
        </w:rPr>
        <w:t xml:space="preserve">de Stéphane </w:t>
      </w:r>
      <w:proofErr w:type="spellStart"/>
      <w:r w:rsidR="00D966DD" w:rsidRPr="005867A5">
        <w:rPr>
          <w:rFonts w:ascii="Arial" w:hAnsi="Arial" w:cs="Arial"/>
          <w:sz w:val="20"/>
          <w:szCs w:val="20"/>
        </w:rPr>
        <w:t>Horel</w:t>
      </w:r>
      <w:proofErr w:type="spellEnd"/>
      <w:r w:rsidR="00D966DD" w:rsidRPr="005867A5">
        <w:rPr>
          <w:rFonts w:ascii="Arial" w:hAnsi="Arial" w:cs="Arial"/>
          <w:sz w:val="20"/>
          <w:szCs w:val="20"/>
        </w:rPr>
        <w:t xml:space="preserve">, 2014. </w:t>
      </w:r>
    </w:p>
    <w:p w:rsidR="000426B2" w:rsidRPr="00F368F1" w:rsidRDefault="000426B2" w:rsidP="00E73AF6">
      <w:pPr>
        <w:spacing w:after="0" w:line="240" w:lineRule="auto"/>
        <w:rPr>
          <w:rFonts w:ascii="Arial" w:hAnsi="Arial" w:cs="Arial"/>
          <w:i/>
          <w:color w:val="000000"/>
          <w:sz w:val="18"/>
          <w:szCs w:val="18"/>
        </w:rPr>
      </w:pPr>
    </w:p>
    <w:p w:rsidR="00A93FBB" w:rsidRDefault="00F368F1" w:rsidP="00F030F5">
      <w:pPr>
        <w:spacing w:after="0" w:line="240" w:lineRule="auto"/>
        <w:jc w:val="both"/>
        <w:rPr>
          <w:rFonts w:ascii="Arial" w:hAnsi="Arial" w:cs="Arial"/>
          <w:color w:val="000000"/>
          <w:sz w:val="20"/>
          <w:szCs w:val="20"/>
        </w:rPr>
      </w:pPr>
      <w:r w:rsidRPr="00085F81">
        <w:rPr>
          <w:rFonts w:ascii="Arial" w:hAnsi="Arial" w:cs="Arial"/>
          <w:color w:val="000000"/>
          <w:sz w:val="20"/>
          <w:szCs w:val="20"/>
        </w:rPr>
        <w:t xml:space="preserve">La Coalition EDC-Free Europe </w:t>
      </w:r>
      <w:r w:rsidR="0012174B" w:rsidRPr="00085F81">
        <w:rPr>
          <w:rFonts w:ascii="Arial" w:hAnsi="Arial" w:cs="Arial"/>
          <w:color w:val="000000"/>
          <w:sz w:val="20"/>
          <w:szCs w:val="20"/>
        </w:rPr>
        <w:t xml:space="preserve">représente </w:t>
      </w:r>
      <w:r w:rsidR="00B15928">
        <w:rPr>
          <w:rFonts w:ascii="Arial" w:hAnsi="Arial" w:cs="Arial"/>
          <w:color w:val="000000"/>
          <w:sz w:val="20"/>
          <w:szCs w:val="20"/>
        </w:rPr>
        <w:t xml:space="preserve">plus de 31 organisation à travers toute l’Europe, </w:t>
      </w:r>
      <w:r w:rsidR="00D966DD" w:rsidRPr="00085F81">
        <w:rPr>
          <w:rFonts w:ascii="Arial" w:hAnsi="Arial" w:cs="Arial"/>
          <w:color w:val="000000"/>
          <w:sz w:val="20"/>
          <w:szCs w:val="20"/>
        </w:rPr>
        <w:t xml:space="preserve">regroupant des </w:t>
      </w:r>
      <w:r w:rsidR="0012174B" w:rsidRPr="00085F81">
        <w:rPr>
          <w:rFonts w:ascii="Arial" w:hAnsi="Arial" w:cs="Arial"/>
          <w:color w:val="000000"/>
          <w:sz w:val="20"/>
          <w:szCs w:val="20"/>
        </w:rPr>
        <w:t xml:space="preserve">syndicats, consommateurs, professionnels de la santé, de la prévention du cancer, </w:t>
      </w:r>
      <w:r w:rsidR="00D966DD" w:rsidRPr="00085F81">
        <w:rPr>
          <w:rFonts w:ascii="Arial" w:hAnsi="Arial" w:cs="Arial"/>
          <w:color w:val="000000"/>
          <w:sz w:val="20"/>
          <w:szCs w:val="20"/>
        </w:rPr>
        <w:t>ONG féminines, environnementales</w:t>
      </w:r>
      <w:r w:rsidR="00B15928">
        <w:rPr>
          <w:rFonts w:ascii="Arial" w:hAnsi="Arial" w:cs="Arial"/>
          <w:color w:val="000000"/>
          <w:sz w:val="20"/>
          <w:szCs w:val="20"/>
        </w:rPr>
        <w:t>, préoccupés par les enjeux sanitaires et environnementaux des PE</w:t>
      </w:r>
      <w:r w:rsidR="00D966DD" w:rsidRPr="00085F81">
        <w:rPr>
          <w:rFonts w:ascii="Arial" w:hAnsi="Arial" w:cs="Arial"/>
          <w:color w:val="000000"/>
          <w:sz w:val="20"/>
          <w:szCs w:val="20"/>
        </w:rPr>
        <w:t xml:space="preserve">. </w:t>
      </w:r>
    </w:p>
    <w:p w:rsidR="00A1550E" w:rsidRPr="00B15928" w:rsidRDefault="00D966DD" w:rsidP="00F030F5">
      <w:pPr>
        <w:spacing w:after="0" w:line="240" w:lineRule="auto"/>
        <w:jc w:val="both"/>
        <w:rPr>
          <w:rFonts w:ascii="Arial" w:hAnsi="Arial" w:cs="Arial"/>
          <w:color w:val="000000"/>
          <w:sz w:val="20"/>
          <w:szCs w:val="20"/>
        </w:rPr>
      </w:pPr>
      <w:r w:rsidRPr="00B15928">
        <w:rPr>
          <w:rStyle w:val="apple-converted-space"/>
          <w:rFonts w:ascii="Arial" w:hAnsi="Arial" w:cs="Arial"/>
          <w:color w:val="000000"/>
          <w:sz w:val="20"/>
          <w:szCs w:val="20"/>
        </w:rPr>
        <w:t>Site internet</w:t>
      </w:r>
      <w:r w:rsidR="000426B2" w:rsidRPr="00B15928">
        <w:rPr>
          <w:rStyle w:val="apple-converted-space"/>
          <w:rFonts w:ascii="Arial" w:hAnsi="Arial" w:cs="Arial"/>
          <w:color w:val="000000"/>
          <w:sz w:val="20"/>
          <w:szCs w:val="20"/>
        </w:rPr>
        <w:t xml:space="preserve">: </w:t>
      </w:r>
      <w:hyperlink r:id="rId32" w:history="1">
        <w:r w:rsidR="000426B2" w:rsidRPr="00B15928">
          <w:rPr>
            <w:rStyle w:val="Lienhypertexte"/>
            <w:rFonts w:ascii="Arial" w:hAnsi="Arial" w:cs="Arial"/>
            <w:sz w:val="20"/>
            <w:szCs w:val="20"/>
          </w:rPr>
          <w:t>www.edc-free-europe.org</w:t>
        </w:r>
      </w:hyperlink>
      <w:r w:rsidR="000426B2" w:rsidRPr="00B15928">
        <w:rPr>
          <w:rFonts w:ascii="Arial" w:hAnsi="Arial" w:cs="Arial"/>
          <w:sz w:val="20"/>
          <w:szCs w:val="20"/>
        </w:rPr>
        <w:t xml:space="preserve"> Twitter </w:t>
      </w:r>
      <w:hyperlink r:id="rId33" w:history="1">
        <w:r w:rsidR="000426B2" w:rsidRPr="00B15928">
          <w:rPr>
            <w:rStyle w:val="Lienhypertexte"/>
            <w:rFonts w:ascii="Arial" w:hAnsi="Arial" w:cs="Arial"/>
            <w:bCs/>
            <w:sz w:val="20"/>
            <w:szCs w:val="20"/>
          </w:rPr>
          <w:t>@</w:t>
        </w:r>
        <w:proofErr w:type="spellStart"/>
        <w:r w:rsidR="000426B2" w:rsidRPr="00B15928">
          <w:rPr>
            <w:rStyle w:val="Lienhypertexte"/>
            <w:rFonts w:ascii="Arial" w:hAnsi="Arial" w:cs="Arial"/>
            <w:bCs/>
            <w:sz w:val="20"/>
            <w:szCs w:val="20"/>
          </w:rPr>
          <w:t>EDCFree</w:t>
        </w:r>
        <w:proofErr w:type="spellEnd"/>
      </w:hyperlink>
      <w:r w:rsidRPr="00B15928">
        <w:rPr>
          <w:rFonts w:ascii="Arial" w:hAnsi="Arial" w:cs="Arial"/>
          <w:sz w:val="20"/>
          <w:szCs w:val="20"/>
        </w:rPr>
        <w:t xml:space="preserve"> et</w:t>
      </w:r>
      <w:r w:rsidR="000426B2" w:rsidRPr="00B15928">
        <w:rPr>
          <w:rFonts w:ascii="Arial" w:hAnsi="Arial" w:cs="Arial"/>
          <w:sz w:val="20"/>
          <w:szCs w:val="20"/>
        </w:rPr>
        <w:t xml:space="preserve"> </w:t>
      </w:r>
      <w:hyperlink r:id="rId34" w:history="1">
        <w:r w:rsidR="000426B2" w:rsidRPr="00B15928">
          <w:rPr>
            <w:rStyle w:val="Lienhypertexte"/>
            <w:rFonts w:ascii="Arial" w:hAnsi="Arial" w:cs="Arial"/>
            <w:sz w:val="20"/>
            <w:szCs w:val="20"/>
          </w:rPr>
          <w:t>Facebook</w:t>
        </w:r>
      </w:hyperlink>
      <w:r w:rsidR="000426B2" w:rsidRPr="00B15928">
        <w:rPr>
          <w:rFonts w:ascii="Arial" w:hAnsi="Arial" w:cs="Arial"/>
          <w:sz w:val="20"/>
          <w:szCs w:val="20"/>
        </w:rPr>
        <w:t xml:space="preserve"> </w:t>
      </w:r>
    </w:p>
    <w:sectPr w:rsidR="00A1550E" w:rsidRPr="00B15928" w:rsidSect="00A1550E">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33D" w:rsidRDefault="0043233D" w:rsidP="00D966DD">
      <w:pPr>
        <w:spacing w:after="0" w:line="240" w:lineRule="auto"/>
      </w:pPr>
      <w:r>
        <w:separator/>
      </w:r>
    </w:p>
  </w:endnote>
  <w:endnote w:type="continuationSeparator" w:id="0">
    <w:p w:rsidR="0043233D" w:rsidRDefault="0043233D" w:rsidP="00D9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Print">
    <w:altName w:val="Segoe Print"/>
    <w:panose1 w:val="02000600000000000000"/>
    <w:charset w:val="00"/>
    <w:family w:val="auto"/>
    <w:pitch w:val="variable"/>
    <w:sig w:usb0="0000028F"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DD" w:rsidRDefault="00D966D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DD" w:rsidRDefault="00D966D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DD" w:rsidRDefault="00D966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33D" w:rsidRDefault="0043233D" w:rsidP="00D966DD">
      <w:pPr>
        <w:spacing w:after="0" w:line="240" w:lineRule="auto"/>
      </w:pPr>
      <w:r>
        <w:separator/>
      </w:r>
    </w:p>
  </w:footnote>
  <w:footnote w:type="continuationSeparator" w:id="0">
    <w:p w:rsidR="0043233D" w:rsidRDefault="0043233D" w:rsidP="00D96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DD" w:rsidRDefault="00D966D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DD" w:rsidRDefault="00D966D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DD" w:rsidRDefault="00D966D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EA"/>
    <w:rsid w:val="0002250C"/>
    <w:rsid w:val="000232F9"/>
    <w:rsid w:val="000426B2"/>
    <w:rsid w:val="00071CC2"/>
    <w:rsid w:val="00077058"/>
    <w:rsid w:val="00085F81"/>
    <w:rsid w:val="000C12AB"/>
    <w:rsid w:val="00104E6E"/>
    <w:rsid w:val="0012174B"/>
    <w:rsid w:val="001552FF"/>
    <w:rsid w:val="00175129"/>
    <w:rsid w:val="001F0ACE"/>
    <w:rsid w:val="002344EB"/>
    <w:rsid w:val="00253E5D"/>
    <w:rsid w:val="00262F40"/>
    <w:rsid w:val="00276190"/>
    <w:rsid w:val="00292B8E"/>
    <w:rsid w:val="0029657E"/>
    <w:rsid w:val="002B1429"/>
    <w:rsid w:val="002D692A"/>
    <w:rsid w:val="002F5FF9"/>
    <w:rsid w:val="00301E16"/>
    <w:rsid w:val="00303AB3"/>
    <w:rsid w:val="003262C9"/>
    <w:rsid w:val="00371F0E"/>
    <w:rsid w:val="003827EA"/>
    <w:rsid w:val="003927AF"/>
    <w:rsid w:val="003C2F40"/>
    <w:rsid w:val="00426765"/>
    <w:rsid w:val="0043233D"/>
    <w:rsid w:val="00452EEE"/>
    <w:rsid w:val="00456E23"/>
    <w:rsid w:val="004626F4"/>
    <w:rsid w:val="004A652C"/>
    <w:rsid w:val="004E01AA"/>
    <w:rsid w:val="005026F2"/>
    <w:rsid w:val="00560130"/>
    <w:rsid w:val="0057615A"/>
    <w:rsid w:val="005867A5"/>
    <w:rsid w:val="005A374C"/>
    <w:rsid w:val="005A53C8"/>
    <w:rsid w:val="00685388"/>
    <w:rsid w:val="00695FE9"/>
    <w:rsid w:val="006C556A"/>
    <w:rsid w:val="00726775"/>
    <w:rsid w:val="00746553"/>
    <w:rsid w:val="007B116F"/>
    <w:rsid w:val="007E0E12"/>
    <w:rsid w:val="008024E2"/>
    <w:rsid w:val="00837674"/>
    <w:rsid w:val="008439AD"/>
    <w:rsid w:val="00853878"/>
    <w:rsid w:val="00856A38"/>
    <w:rsid w:val="00880520"/>
    <w:rsid w:val="008A5023"/>
    <w:rsid w:val="008D4962"/>
    <w:rsid w:val="008F39E6"/>
    <w:rsid w:val="008F3F33"/>
    <w:rsid w:val="00915EAD"/>
    <w:rsid w:val="00932C3C"/>
    <w:rsid w:val="009604C1"/>
    <w:rsid w:val="00964594"/>
    <w:rsid w:val="009A55BF"/>
    <w:rsid w:val="009B4C3E"/>
    <w:rsid w:val="009C0ABA"/>
    <w:rsid w:val="009C77E9"/>
    <w:rsid w:val="009D318A"/>
    <w:rsid w:val="009F2B8A"/>
    <w:rsid w:val="00A1550E"/>
    <w:rsid w:val="00A40822"/>
    <w:rsid w:val="00A67671"/>
    <w:rsid w:val="00A81C2C"/>
    <w:rsid w:val="00A93FBB"/>
    <w:rsid w:val="00AB2861"/>
    <w:rsid w:val="00AE0E87"/>
    <w:rsid w:val="00AE7B4A"/>
    <w:rsid w:val="00AF1DC8"/>
    <w:rsid w:val="00B1520D"/>
    <w:rsid w:val="00B15928"/>
    <w:rsid w:val="00B17759"/>
    <w:rsid w:val="00B40AC5"/>
    <w:rsid w:val="00B413B4"/>
    <w:rsid w:val="00B752B5"/>
    <w:rsid w:val="00BE6506"/>
    <w:rsid w:val="00C02814"/>
    <w:rsid w:val="00C15376"/>
    <w:rsid w:val="00C66B4D"/>
    <w:rsid w:val="00C84415"/>
    <w:rsid w:val="00CB4596"/>
    <w:rsid w:val="00CB737C"/>
    <w:rsid w:val="00CD5A4B"/>
    <w:rsid w:val="00D0029B"/>
    <w:rsid w:val="00D102E1"/>
    <w:rsid w:val="00D17AFD"/>
    <w:rsid w:val="00D2371C"/>
    <w:rsid w:val="00D7184A"/>
    <w:rsid w:val="00D774EE"/>
    <w:rsid w:val="00D814A6"/>
    <w:rsid w:val="00D81A03"/>
    <w:rsid w:val="00D966DD"/>
    <w:rsid w:val="00DB006F"/>
    <w:rsid w:val="00DB7644"/>
    <w:rsid w:val="00DD41D3"/>
    <w:rsid w:val="00DF7E10"/>
    <w:rsid w:val="00E10F9F"/>
    <w:rsid w:val="00E37E02"/>
    <w:rsid w:val="00E73AF6"/>
    <w:rsid w:val="00EA2A27"/>
    <w:rsid w:val="00EB3FD9"/>
    <w:rsid w:val="00EC1C2F"/>
    <w:rsid w:val="00ED3016"/>
    <w:rsid w:val="00F030F5"/>
    <w:rsid w:val="00F22A61"/>
    <w:rsid w:val="00F368F1"/>
    <w:rsid w:val="00F7139F"/>
    <w:rsid w:val="00FA26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8AA068-172E-4028-A128-5C0F563C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B8A"/>
  </w:style>
  <w:style w:type="paragraph" w:styleId="Titre1">
    <w:name w:val="heading 1"/>
    <w:basedOn w:val="Normal"/>
    <w:next w:val="Normal"/>
    <w:link w:val="Titre1Car"/>
    <w:uiPriority w:val="9"/>
    <w:qFormat/>
    <w:rsid w:val="004E01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0426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2B8A"/>
    <w:pPr>
      <w:ind w:left="720"/>
      <w:contextualSpacing/>
    </w:pPr>
  </w:style>
  <w:style w:type="paragraph" w:styleId="NormalWeb">
    <w:name w:val="Normal (Web)"/>
    <w:basedOn w:val="Normal"/>
    <w:uiPriority w:val="99"/>
    <w:unhideWhenUsed/>
    <w:rsid w:val="00C028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02814"/>
    <w:rPr>
      <w:b/>
      <w:bCs/>
    </w:rPr>
  </w:style>
  <w:style w:type="character" w:customStyle="1" w:styleId="apple-converted-space">
    <w:name w:val="apple-converted-space"/>
    <w:basedOn w:val="Policepardfaut"/>
    <w:rsid w:val="00C02814"/>
  </w:style>
  <w:style w:type="character" w:styleId="Lienhypertexte">
    <w:name w:val="Hyperlink"/>
    <w:basedOn w:val="Policepardfaut"/>
    <w:uiPriority w:val="99"/>
    <w:unhideWhenUsed/>
    <w:rsid w:val="00C02814"/>
    <w:rPr>
      <w:color w:val="0000FF"/>
      <w:u w:val="single"/>
    </w:rPr>
  </w:style>
  <w:style w:type="character" w:styleId="Accentuation">
    <w:name w:val="Emphasis"/>
    <w:basedOn w:val="Policepardfaut"/>
    <w:uiPriority w:val="20"/>
    <w:qFormat/>
    <w:rsid w:val="00C02814"/>
    <w:rPr>
      <w:i/>
      <w:iCs/>
    </w:rPr>
  </w:style>
  <w:style w:type="paragraph" w:styleId="Commentaire">
    <w:name w:val="annotation text"/>
    <w:basedOn w:val="Normal"/>
    <w:link w:val="CommentaireCar"/>
    <w:uiPriority w:val="99"/>
    <w:unhideWhenUsed/>
    <w:rsid w:val="00A40822"/>
    <w:pPr>
      <w:suppressAutoHyphens/>
      <w:autoSpaceDN w:val="0"/>
      <w:spacing w:after="160" w:line="240" w:lineRule="auto"/>
      <w:textAlignment w:val="baseline"/>
    </w:pPr>
    <w:rPr>
      <w:rFonts w:ascii="Calibri" w:eastAsia="Calibri" w:hAnsi="Calibri" w:cs="Times New Roman"/>
      <w:sz w:val="24"/>
      <w:szCs w:val="24"/>
      <w:lang w:val="fr-BE"/>
    </w:rPr>
  </w:style>
  <w:style w:type="character" w:customStyle="1" w:styleId="CommentaireCar">
    <w:name w:val="Commentaire Car"/>
    <w:basedOn w:val="Policepardfaut"/>
    <w:link w:val="Commentaire"/>
    <w:uiPriority w:val="99"/>
    <w:rsid w:val="00A40822"/>
    <w:rPr>
      <w:rFonts w:ascii="Calibri" w:eastAsia="Calibri" w:hAnsi="Calibri" w:cs="Times New Roman"/>
      <w:sz w:val="24"/>
      <w:szCs w:val="24"/>
      <w:lang w:val="fr-BE"/>
    </w:rPr>
  </w:style>
  <w:style w:type="character" w:styleId="Lienhypertextesuivivisit">
    <w:name w:val="FollowedHyperlink"/>
    <w:basedOn w:val="Policepardfaut"/>
    <w:uiPriority w:val="99"/>
    <w:semiHidden/>
    <w:unhideWhenUsed/>
    <w:rsid w:val="00077058"/>
    <w:rPr>
      <w:color w:val="800080" w:themeColor="followedHyperlink"/>
      <w:u w:val="single"/>
    </w:rPr>
  </w:style>
  <w:style w:type="paragraph" w:styleId="Textedebulles">
    <w:name w:val="Balloon Text"/>
    <w:basedOn w:val="Normal"/>
    <w:link w:val="TextedebullesCar"/>
    <w:uiPriority w:val="99"/>
    <w:semiHidden/>
    <w:unhideWhenUsed/>
    <w:rsid w:val="00253E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3E5D"/>
    <w:rPr>
      <w:rFonts w:ascii="Segoe UI" w:hAnsi="Segoe UI" w:cs="Segoe UI"/>
      <w:sz w:val="18"/>
      <w:szCs w:val="18"/>
    </w:rPr>
  </w:style>
  <w:style w:type="character" w:styleId="Marquedecommentaire">
    <w:name w:val="annotation reference"/>
    <w:basedOn w:val="Policepardfaut"/>
    <w:uiPriority w:val="99"/>
    <w:semiHidden/>
    <w:unhideWhenUsed/>
    <w:rsid w:val="004E01AA"/>
    <w:rPr>
      <w:sz w:val="16"/>
      <w:szCs w:val="16"/>
    </w:rPr>
  </w:style>
  <w:style w:type="paragraph" w:styleId="Objetducommentaire">
    <w:name w:val="annotation subject"/>
    <w:basedOn w:val="Commentaire"/>
    <w:next w:val="Commentaire"/>
    <w:link w:val="ObjetducommentaireCar"/>
    <w:uiPriority w:val="99"/>
    <w:semiHidden/>
    <w:unhideWhenUsed/>
    <w:rsid w:val="004E01AA"/>
    <w:pPr>
      <w:suppressAutoHyphens w:val="0"/>
      <w:autoSpaceDN/>
      <w:spacing w:after="200"/>
      <w:textAlignment w:val="auto"/>
    </w:pPr>
    <w:rPr>
      <w:rFonts w:asciiTheme="minorHAnsi" w:eastAsiaTheme="minorHAnsi" w:hAnsiTheme="minorHAnsi" w:cstheme="minorBidi"/>
      <w:b/>
      <w:bCs/>
      <w:sz w:val="20"/>
      <w:szCs w:val="20"/>
      <w:lang w:val="fr-FR"/>
    </w:rPr>
  </w:style>
  <w:style w:type="character" w:customStyle="1" w:styleId="ObjetducommentaireCar">
    <w:name w:val="Objet du commentaire Car"/>
    <w:basedOn w:val="CommentaireCar"/>
    <w:link w:val="Objetducommentaire"/>
    <w:uiPriority w:val="99"/>
    <w:semiHidden/>
    <w:rsid w:val="004E01AA"/>
    <w:rPr>
      <w:rFonts w:ascii="Calibri" w:eastAsia="Calibri" w:hAnsi="Calibri" w:cs="Times New Roman"/>
      <w:b/>
      <w:bCs/>
      <w:sz w:val="20"/>
      <w:szCs w:val="20"/>
      <w:lang w:val="fr-BE"/>
    </w:rPr>
  </w:style>
  <w:style w:type="character" w:customStyle="1" w:styleId="Titre1Car">
    <w:name w:val="Titre 1 Car"/>
    <w:basedOn w:val="Policepardfaut"/>
    <w:link w:val="Titre1"/>
    <w:uiPriority w:val="9"/>
    <w:rsid w:val="004E01AA"/>
    <w:rPr>
      <w:rFonts w:asciiTheme="majorHAnsi" w:eastAsiaTheme="majorEastAsia" w:hAnsiTheme="majorHAnsi" w:cstheme="majorBidi"/>
      <w:color w:val="365F91" w:themeColor="accent1" w:themeShade="BF"/>
      <w:sz w:val="32"/>
      <w:szCs w:val="32"/>
    </w:rPr>
  </w:style>
  <w:style w:type="paragraph" w:styleId="Rvision">
    <w:name w:val="Revision"/>
    <w:hidden/>
    <w:uiPriority w:val="99"/>
    <w:semiHidden/>
    <w:rsid w:val="00915EAD"/>
    <w:pPr>
      <w:spacing w:after="0" w:line="240" w:lineRule="auto"/>
    </w:pPr>
  </w:style>
  <w:style w:type="character" w:customStyle="1" w:styleId="Titre2Car">
    <w:name w:val="Titre 2 Car"/>
    <w:basedOn w:val="Policepardfaut"/>
    <w:link w:val="Titre2"/>
    <w:uiPriority w:val="9"/>
    <w:semiHidden/>
    <w:rsid w:val="000426B2"/>
    <w:rPr>
      <w:rFonts w:asciiTheme="majorHAnsi" w:eastAsiaTheme="majorEastAsia" w:hAnsiTheme="majorHAnsi" w:cstheme="majorBidi"/>
      <w:color w:val="365F91" w:themeColor="accent1" w:themeShade="BF"/>
      <w:sz w:val="26"/>
      <w:szCs w:val="26"/>
    </w:rPr>
  </w:style>
  <w:style w:type="paragraph" w:customStyle="1" w:styleId="Default">
    <w:name w:val="Default"/>
    <w:rsid w:val="00301E16"/>
    <w:pPr>
      <w:autoSpaceDE w:val="0"/>
      <w:autoSpaceDN w:val="0"/>
      <w:adjustRightInd w:val="0"/>
      <w:spacing w:after="0" w:line="240" w:lineRule="auto"/>
    </w:pPr>
    <w:rPr>
      <w:rFonts w:ascii="Segoe Print" w:hAnsi="Segoe Print" w:cs="Segoe Print"/>
      <w:color w:val="000000"/>
      <w:sz w:val="24"/>
      <w:szCs w:val="24"/>
    </w:rPr>
  </w:style>
  <w:style w:type="paragraph" w:styleId="En-tte">
    <w:name w:val="header"/>
    <w:basedOn w:val="Normal"/>
    <w:link w:val="En-tteCar"/>
    <w:uiPriority w:val="99"/>
    <w:unhideWhenUsed/>
    <w:rsid w:val="00D966DD"/>
    <w:pPr>
      <w:tabs>
        <w:tab w:val="center" w:pos="4536"/>
        <w:tab w:val="right" w:pos="9072"/>
      </w:tabs>
      <w:spacing w:after="0" w:line="240" w:lineRule="auto"/>
    </w:pPr>
  </w:style>
  <w:style w:type="character" w:customStyle="1" w:styleId="En-tteCar">
    <w:name w:val="En-tête Car"/>
    <w:basedOn w:val="Policepardfaut"/>
    <w:link w:val="En-tte"/>
    <w:uiPriority w:val="99"/>
    <w:rsid w:val="00D966DD"/>
  </w:style>
  <w:style w:type="paragraph" w:styleId="Pieddepage">
    <w:name w:val="footer"/>
    <w:basedOn w:val="Normal"/>
    <w:link w:val="PieddepageCar"/>
    <w:uiPriority w:val="99"/>
    <w:unhideWhenUsed/>
    <w:rsid w:val="00D966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6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61935">
      <w:bodyDiv w:val="1"/>
      <w:marLeft w:val="0"/>
      <w:marRight w:val="0"/>
      <w:marTop w:val="0"/>
      <w:marBottom w:val="0"/>
      <w:divBdr>
        <w:top w:val="none" w:sz="0" w:space="0" w:color="auto"/>
        <w:left w:val="none" w:sz="0" w:space="0" w:color="auto"/>
        <w:bottom w:val="none" w:sz="0" w:space="0" w:color="auto"/>
        <w:right w:val="none" w:sz="0" w:space="0" w:color="auto"/>
      </w:divBdr>
    </w:div>
    <w:div w:id="308874014">
      <w:bodyDiv w:val="1"/>
      <w:marLeft w:val="0"/>
      <w:marRight w:val="0"/>
      <w:marTop w:val="0"/>
      <w:marBottom w:val="0"/>
      <w:divBdr>
        <w:top w:val="none" w:sz="0" w:space="0" w:color="auto"/>
        <w:left w:val="none" w:sz="0" w:space="0" w:color="auto"/>
        <w:bottom w:val="none" w:sz="0" w:space="0" w:color="auto"/>
        <w:right w:val="none" w:sz="0" w:space="0" w:color="auto"/>
      </w:divBdr>
    </w:div>
    <w:div w:id="794056209">
      <w:bodyDiv w:val="1"/>
      <w:marLeft w:val="0"/>
      <w:marRight w:val="0"/>
      <w:marTop w:val="0"/>
      <w:marBottom w:val="0"/>
      <w:divBdr>
        <w:top w:val="none" w:sz="0" w:space="0" w:color="auto"/>
        <w:left w:val="none" w:sz="0" w:space="0" w:color="auto"/>
        <w:bottom w:val="none" w:sz="0" w:space="0" w:color="auto"/>
        <w:right w:val="none" w:sz="0" w:space="0" w:color="auto"/>
      </w:divBdr>
    </w:div>
    <w:div w:id="823669647">
      <w:bodyDiv w:val="1"/>
      <w:marLeft w:val="0"/>
      <w:marRight w:val="0"/>
      <w:marTop w:val="0"/>
      <w:marBottom w:val="0"/>
      <w:divBdr>
        <w:top w:val="none" w:sz="0" w:space="0" w:color="auto"/>
        <w:left w:val="none" w:sz="0" w:space="0" w:color="auto"/>
        <w:bottom w:val="none" w:sz="0" w:space="0" w:color="auto"/>
        <w:right w:val="none" w:sz="0" w:space="0" w:color="auto"/>
      </w:divBdr>
    </w:div>
    <w:div w:id="863787938">
      <w:bodyDiv w:val="1"/>
      <w:marLeft w:val="0"/>
      <w:marRight w:val="0"/>
      <w:marTop w:val="0"/>
      <w:marBottom w:val="0"/>
      <w:divBdr>
        <w:top w:val="none" w:sz="0" w:space="0" w:color="auto"/>
        <w:left w:val="none" w:sz="0" w:space="0" w:color="auto"/>
        <w:bottom w:val="none" w:sz="0" w:space="0" w:color="auto"/>
        <w:right w:val="none" w:sz="0" w:space="0" w:color="auto"/>
      </w:divBdr>
    </w:div>
    <w:div w:id="9392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no2hormonedisruptingchemicals.org/fr"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yperlink" Target="https://www.facebook.com/pages/EDC-Free/142368325936876" TargetMode="External"/><Relationship Id="rId42" Type="http://schemas.openxmlformats.org/officeDocument/2006/relationships/theme" Target="theme/theme1.xml"/><Relationship Id="rId7" Type="http://schemas.openxmlformats.org/officeDocument/2006/relationships/hyperlink" Target="http://www.no2hormonedisruptingchemicals.org/fr"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elisabeth.ruffinengo@wecf.eu" TargetMode="External"/><Relationship Id="rId33" Type="http://schemas.openxmlformats.org/officeDocument/2006/relationships/hyperlink" Target="https://twitter.com/EDCFree"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ec.europa.eu/dgs/health_consumer/dgs_consultations/food/consultation_20150116_endocrine-disruptors_en.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mailto:p.berthellemy@reseau-environnement-sante.net" TargetMode="External"/><Relationship Id="rId32" Type="http://schemas.openxmlformats.org/officeDocument/2006/relationships/hyperlink" Target="http://www.edc-free-europe.org"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www.generations-futures.fr/pesticides/definition-des-criteres-des-perturbateurs-endocriniens-une-feuille-de-route-inacceptable/" TargetMode="External"/><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youtube.com/watch?v=8GFOlo_e_H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register.consilium.europa.eu/doc/srv?l=FR&amp;f=ST%2010247%202014%20INIT" TargetMode="External"/><Relationship Id="rId30" Type="http://schemas.openxmlformats.org/officeDocument/2006/relationships/hyperlink" Target="http://www.developpement-durable.gouv.fr/IMG/pdf/28-11-2014_cp_S-ROYAL_conf_envi_2014.pdf"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1D8E2-84BC-4F5A-B3DF-16791682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1483</Words>
  <Characters>8162</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Elisabeth Ruffinengo</cp:lastModifiedBy>
  <cp:revision>4</cp:revision>
  <cp:lastPrinted>2014-12-08T14:48:00Z</cp:lastPrinted>
  <dcterms:created xsi:type="dcterms:W3CDTF">2014-12-08T14:48:00Z</dcterms:created>
  <dcterms:modified xsi:type="dcterms:W3CDTF">2014-12-08T15:06:00Z</dcterms:modified>
</cp:coreProperties>
</file>